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82259994"/>
        <w:docPartObj>
          <w:docPartGallery w:val="Cover Pages"/>
          <w:docPartUnique/>
        </w:docPartObj>
      </w:sdtPr>
      <w:sdtEndPr/>
      <w:sdtContent>
        <w:p w14:paraId="3EE6F43E" w14:textId="77777777" w:rsidR="00F96B15" w:rsidRPr="003D4DA4" w:rsidRDefault="00F96B15"/>
        <w:tbl>
          <w:tblPr>
            <w:tblpPr w:leftFromText="187" w:rightFromText="187" w:horzAnchor="margin" w:tblpXSpec="center" w:tblpY="2881"/>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557"/>
            <w:gridCol w:w="1788"/>
          </w:tblGrid>
          <w:tr w:rsidR="00F96B15" w:rsidRPr="003D4DA4" w14:paraId="2C92CDFC" w14:textId="77777777" w:rsidTr="00EE1162">
            <w:tc>
              <w:tcPr>
                <w:tcW w:w="9435" w:type="dxa"/>
                <w:gridSpan w:val="2"/>
                <w:tcMar>
                  <w:top w:w="216" w:type="dxa"/>
                  <w:left w:w="115" w:type="dxa"/>
                  <w:bottom w:w="216" w:type="dxa"/>
                  <w:right w:w="115" w:type="dxa"/>
                </w:tcMar>
              </w:tcPr>
              <w:p w14:paraId="3D34C5BE" w14:textId="77777777" w:rsidR="00F96B15" w:rsidRPr="003D4DA4" w:rsidRDefault="00F96B15">
                <w:pPr>
                  <w:pStyle w:val="NoSpacing"/>
                  <w:rPr>
                    <w:color w:val="2E74B5" w:themeColor="accent1" w:themeShade="BF"/>
                    <w:sz w:val="24"/>
                  </w:rPr>
                </w:pPr>
              </w:p>
            </w:tc>
          </w:tr>
          <w:tr w:rsidR="00F96B15" w:rsidRPr="003D4DA4" w14:paraId="51F5D652" w14:textId="77777777" w:rsidTr="00A64208">
            <w:trPr>
              <w:gridAfter w:val="1"/>
              <w:wAfter w:w="1869" w:type="dxa"/>
              <w:trHeight w:val="2151"/>
            </w:trPr>
            <w:tc>
              <w:tcPr>
                <w:tcW w:w="7672" w:type="dxa"/>
              </w:tcPr>
              <w:sdt>
                <w:sdtPr>
                  <w:rPr>
                    <w:rFonts w:asciiTheme="majorHAnsi" w:eastAsiaTheme="majorEastAsia" w:hAnsiTheme="majorHAnsi" w:cstheme="majorBidi"/>
                    <w:color w:val="5B9BD5" w:themeColor="accent1"/>
                    <w:sz w:val="72"/>
                    <w:szCs w:val="88"/>
                  </w:rPr>
                  <w:alias w:val="Titre"/>
                  <w:id w:val="13406919"/>
                  <w:placeholder>
                    <w:docPart w:val="274F132055F04CF196535D06B84CE7E3"/>
                  </w:placeholder>
                  <w:dataBinding w:prefixMappings="xmlns:ns0='http://schemas.openxmlformats.org/package/2006/metadata/core-properties' xmlns:ns1='http://purl.org/dc/elements/1.1/'" w:xpath="/ns0:coreProperties[1]/ns1:title[1]" w:storeItemID="{6C3C8BC8-F283-45AE-878A-BAB7291924A1}"/>
                  <w:text/>
                </w:sdtPr>
                <w:sdtEndPr/>
                <w:sdtContent>
                  <w:p w14:paraId="16F50CB9" w14:textId="5AADFECE" w:rsidR="00F96B15" w:rsidRPr="003D4DA4" w:rsidRDefault="00EF1569" w:rsidP="00A64208">
                    <w:pPr>
                      <w:pStyle w:val="NoSpacing"/>
                      <w:spacing w:line="216" w:lineRule="auto"/>
                      <w:rPr>
                        <w:rFonts w:asciiTheme="majorHAnsi" w:eastAsiaTheme="majorEastAsia" w:hAnsiTheme="majorHAnsi" w:cstheme="majorBidi"/>
                        <w:color w:val="5B9BD5" w:themeColor="accent1"/>
                        <w:sz w:val="88"/>
                        <w:szCs w:val="88"/>
                      </w:rPr>
                    </w:pPr>
                    <w:r w:rsidRPr="003D4DA4">
                      <w:rPr>
                        <w:rFonts w:asciiTheme="majorHAnsi" w:eastAsiaTheme="majorEastAsia" w:hAnsiTheme="majorHAnsi" w:cstheme="majorBidi"/>
                        <w:color w:val="5B9BD5" w:themeColor="accent1"/>
                        <w:sz w:val="72"/>
                        <w:szCs w:val="88"/>
                      </w:rPr>
                      <w:t>Guide d</w:t>
                    </w:r>
                    <w:r w:rsidR="00F03D95" w:rsidRPr="003D4DA4">
                      <w:rPr>
                        <w:rFonts w:asciiTheme="majorHAnsi" w:eastAsiaTheme="majorEastAsia" w:hAnsiTheme="majorHAnsi" w:cstheme="majorBidi"/>
                        <w:color w:val="5B9BD5" w:themeColor="accent1"/>
                        <w:sz w:val="72"/>
                        <w:szCs w:val="88"/>
                      </w:rPr>
                      <w:t>’</w:t>
                    </w:r>
                    <w:r w:rsidRPr="003D4DA4">
                      <w:rPr>
                        <w:rFonts w:asciiTheme="majorHAnsi" w:eastAsiaTheme="majorEastAsia" w:hAnsiTheme="majorHAnsi" w:cstheme="majorBidi"/>
                        <w:color w:val="5B9BD5" w:themeColor="accent1"/>
                        <w:sz w:val="72"/>
                        <w:szCs w:val="88"/>
                      </w:rPr>
                      <w:t>administration financière des trois organismes</w:t>
                    </w:r>
                  </w:p>
                </w:sdtContent>
              </w:sdt>
            </w:tc>
          </w:tr>
          <w:tr w:rsidR="00F96B15" w:rsidRPr="003D4DA4" w14:paraId="30989961" w14:textId="77777777" w:rsidTr="00A64208">
            <w:trPr>
              <w:gridAfter w:val="1"/>
              <w:wAfter w:w="1869" w:type="dxa"/>
              <w:trHeight w:val="900"/>
            </w:trPr>
            <w:sdt>
              <w:sdtPr>
                <w:rPr>
                  <w:color w:val="2E74B5" w:themeColor="accent1" w:themeShade="BF"/>
                  <w:sz w:val="48"/>
                  <w:szCs w:val="24"/>
                </w:rPr>
                <w:alias w:val="Sous-titre"/>
                <w:id w:val="13406923"/>
                <w:placeholder>
                  <w:docPart w:val="F8FC6EBD701E4386AFE34C9E9B780A0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F2BDBB5" w14:textId="2B065195" w:rsidR="00F96B15" w:rsidRPr="003D4DA4" w:rsidRDefault="00366BC2" w:rsidP="0030262D">
                    <w:pPr>
                      <w:pStyle w:val="NoSpacing"/>
                      <w:ind w:left="-755" w:firstLine="755"/>
                      <w:rPr>
                        <w:color w:val="2E74B5" w:themeColor="accent1" w:themeShade="BF"/>
                        <w:sz w:val="24"/>
                      </w:rPr>
                    </w:pPr>
                    <w:r w:rsidRPr="003D4DA4">
                      <w:rPr>
                        <w:color w:val="2E74B5" w:themeColor="accent1" w:themeShade="BF"/>
                        <w:sz w:val="48"/>
                        <w:szCs w:val="24"/>
                      </w:rPr>
                      <w:t>Guide de prestation du cours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F96B15" w:rsidRPr="003D4DA4" w14:paraId="0BECD3FE" w14:textId="77777777">
            <w:tc>
              <w:tcPr>
                <w:tcW w:w="7221" w:type="dxa"/>
                <w:tcMar>
                  <w:top w:w="216" w:type="dxa"/>
                  <w:left w:w="115" w:type="dxa"/>
                  <w:bottom w:w="216" w:type="dxa"/>
                  <w:right w:w="115" w:type="dxa"/>
                </w:tcMar>
              </w:tcPr>
              <w:p w14:paraId="6940E3EB" w14:textId="4E7760C2" w:rsidR="00E12AC1" w:rsidRPr="003D4DA4" w:rsidRDefault="00A53E6E">
                <w:pPr>
                  <w:pStyle w:val="NoSpacing"/>
                  <w:rPr>
                    <w:color w:val="5B9BD5" w:themeColor="accent1"/>
                    <w:sz w:val="28"/>
                    <w:szCs w:val="28"/>
                  </w:rPr>
                </w:pPr>
                <w:r w:rsidRPr="003D4DA4">
                  <w:rPr>
                    <w:color w:val="5B9BD5" w:themeColor="accent1"/>
                    <w:sz w:val="28"/>
                    <w:szCs w:val="28"/>
                  </w:rPr>
                  <w:t>Dernière mise à jour : février 2020</w:t>
                </w:r>
              </w:p>
              <w:p w14:paraId="7974ABB9" w14:textId="77777777" w:rsidR="00F96B15" w:rsidRPr="003D4DA4" w:rsidRDefault="00F96B15">
                <w:pPr>
                  <w:pStyle w:val="NoSpacing"/>
                  <w:rPr>
                    <w:color w:val="5B9BD5" w:themeColor="accent1"/>
                  </w:rPr>
                </w:pPr>
              </w:p>
            </w:tc>
          </w:tr>
        </w:tbl>
        <w:p w14:paraId="178D6D73" w14:textId="7204F736" w:rsidR="00F96B15" w:rsidRPr="003D4DA4" w:rsidRDefault="00F96B15">
          <w:r w:rsidRPr="003D4DA4">
            <w:br w:type="page"/>
          </w:r>
        </w:p>
      </w:sdtContent>
    </w:sdt>
    <w:p w14:paraId="27AC94C5" w14:textId="77777777" w:rsidR="00F96B15" w:rsidRPr="003D4DA4" w:rsidRDefault="00F96B15">
      <w:pPr>
        <w:pStyle w:val="TOCHeading"/>
        <w:rPr>
          <w:rFonts w:asciiTheme="minorHAnsi" w:eastAsiaTheme="minorHAnsi" w:hAnsiTheme="minorHAnsi" w:cstheme="minorBidi"/>
          <w:color w:val="auto"/>
          <w:sz w:val="22"/>
          <w:szCs w:val="22"/>
        </w:rPr>
      </w:pPr>
      <w:bookmarkStart w:id="0" w:name="_GoBack"/>
      <w:bookmarkEnd w:id="0"/>
    </w:p>
    <w:sdt>
      <w:sdtPr>
        <w:rPr>
          <w:rFonts w:asciiTheme="minorHAnsi" w:eastAsiaTheme="minorHAnsi" w:hAnsiTheme="minorHAnsi" w:cstheme="minorBidi"/>
          <w:color w:val="auto"/>
          <w:sz w:val="22"/>
          <w:szCs w:val="22"/>
        </w:rPr>
        <w:id w:val="-1288511181"/>
        <w:docPartObj>
          <w:docPartGallery w:val="Table of Contents"/>
          <w:docPartUnique/>
        </w:docPartObj>
      </w:sdtPr>
      <w:sdtEndPr>
        <w:rPr>
          <w:b/>
          <w:bCs/>
          <w:noProof/>
        </w:rPr>
      </w:sdtEndPr>
      <w:sdtContent>
        <w:p w14:paraId="22D401B1" w14:textId="14B57E6F" w:rsidR="00040E65" w:rsidRPr="003D4DA4" w:rsidRDefault="00F96B15">
          <w:pPr>
            <w:pStyle w:val="TOCHeading"/>
          </w:pPr>
          <w:r w:rsidRPr="003D4DA4">
            <w:t>Table des matières</w:t>
          </w:r>
        </w:p>
        <w:p w14:paraId="327D4BFE" w14:textId="7D9E818B" w:rsidR="00537A07" w:rsidRDefault="00040E65">
          <w:pPr>
            <w:pStyle w:val="TOC1"/>
            <w:tabs>
              <w:tab w:val="right" w:leader="dot" w:pos="9350"/>
            </w:tabs>
            <w:rPr>
              <w:rFonts w:eastAsiaTheme="minorEastAsia"/>
              <w:noProof/>
              <w:lang w:val="en-US"/>
            </w:rPr>
          </w:pPr>
          <w:r w:rsidRPr="003D4DA4">
            <w:fldChar w:fldCharType="begin"/>
          </w:r>
          <w:r w:rsidRPr="003D4DA4">
            <w:instrText xml:space="preserve"> TOC \o "1-3" \h \z \u </w:instrText>
          </w:r>
          <w:r w:rsidRPr="003D4DA4">
            <w:fldChar w:fldCharType="separate"/>
          </w:r>
          <w:hyperlink w:anchor="_Toc33171565" w:history="1">
            <w:r w:rsidR="00537A07" w:rsidRPr="002B2D72">
              <w:rPr>
                <w:rStyle w:val="Hyperlink"/>
                <w:noProof/>
              </w:rPr>
              <w:t>Introduction</w:t>
            </w:r>
            <w:r w:rsidR="00537A07">
              <w:rPr>
                <w:noProof/>
                <w:webHidden/>
              </w:rPr>
              <w:tab/>
            </w:r>
            <w:r w:rsidR="00537A07">
              <w:rPr>
                <w:noProof/>
                <w:webHidden/>
              </w:rPr>
              <w:fldChar w:fldCharType="begin"/>
            </w:r>
            <w:r w:rsidR="00537A07">
              <w:rPr>
                <w:noProof/>
                <w:webHidden/>
              </w:rPr>
              <w:instrText xml:space="preserve"> PAGEREF _Toc33171565 \h </w:instrText>
            </w:r>
            <w:r w:rsidR="00537A07">
              <w:rPr>
                <w:noProof/>
                <w:webHidden/>
              </w:rPr>
            </w:r>
            <w:r w:rsidR="00537A07">
              <w:rPr>
                <w:noProof/>
                <w:webHidden/>
              </w:rPr>
              <w:fldChar w:fldCharType="separate"/>
            </w:r>
            <w:r w:rsidR="00217041">
              <w:rPr>
                <w:noProof/>
                <w:webHidden/>
              </w:rPr>
              <w:t>2</w:t>
            </w:r>
            <w:r w:rsidR="00537A07">
              <w:rPr>
                <w:noProof/>
                <w:webHidden/>
              </w:rPr>
              <w:fldChar w:fldCharType="end"/>
            </w:r>
          </w:hyperlink>
        </w:p>
        <w:p w14:paraId="0BD91629" w14:textId="040C0B68" w:rsidR="00537A07" w:rsidRDefault="00173E14">
          <w:pPr>
            <w:pStyle w:val="TOC2"/>
            <w:tabs>
              <w:tab w:val="right" w:leader="dot" w:pos="9350"/>
            </w:tabs>
            <w:rPr>
              <w:rFonts w:eastAsiaTheme="minorEastAsia"/>
              <w:noProof/>
              <w:lang w:val="en-US"/>
            </w:rPr>
          </w:pPr>
          <w:hyperlink w:anchor="_Toc33171566" w:history="1">
            <w:r w:rsidR="00537A07" w:rsidRPr="002B2D72">
              <w:rPr>
                <w:rStyle w:val="Hyperlink"/>
                <w:noProof/>
              </w:rPr>
              <w:t>But</w:t>
            </w:r>
            <w:r w:rsidR="00537A07">
              <w:rPr>
                <w:noProof/>
                <w:webHidden/>
              </w:rPr>
              <w:tab/>
            </w:r>
            <w:r w:rsidR="00537A07">
              <w:rPr>
                <w:noProof/>
                <w:webHidden/>
              </w:rPr>
              <w:fldChar w:fldCharType="begin"/>
            </w:r>
            <w:r w:rsidR="00537A07">
              <w:rPr>
                <w:noProof/>
                <w:webHidden/>
              </w:rPr>
              <w:instrText xml:space="preserve"> PAGEREF _Toc33171566 \h </w:instrText>
            </w:r>
            <w:r w:rsidR="00537A07">
              <w:rPr>
                <w:noProof/>
                <w:webHidden/>
              </w:rPr>
            </w:r>
            <w:r w:rsidR="00537A07">
              <w:rPr>
                <w:noProof/>
                <w:webHidden/>
              </w:rPr>
              <w:fldChar w:fldCharType="separate"/>
            </w:r>
            <w:r w:rsidR="00217041">
              <w:rPr>
                <w:noProof/>
                <w:webHidden/>
              </w:rPr>
              <w:t>2</w:t>
            </w:r>
            <w:r w:rsidR="00537A07">
              <w:rPr>
                <w:noProof/>
                <w:webHidden/>
              </w:rPr>
              <w:fldChar w:fldCharType="end"/>
            </w:r>
          </w:hyperlink>
        </w:p>
        <w:p w14:paraId="2233CFEE" w14:textId="34D53848" w:rsidR="00537A07" w:rsidRDefault="00173E14">
          <w:pPr>
            <w:pStyle w:val="TOC2"/>
            <w:tabs>
              <w:tab w:val="right" w:leader="dot" w:pos="9350"/>
            </w:tabs>
            <w:rPr>
              <w:rFonts w:eastAsiaTheme="minorEastAsia"/>
              <w:noProof/>
              <w:lang w:val="en-US"/>
            </w:rPr>
          </w:pPr>
          <w:hyperlink w:anchor="_Toc33171567" w:history="1">
            <w:r w:rsidR="00537A07" w:rsidRPr="002B2D72">
              <w:rPr>
                <w:rStyle w:val="Hyperlink"/>
                <w:noProof/>
              </w:rPr>
              <w:t>Outils à votre disposition (trousse de formation des formateurs)</w:t>
            </w:r>
            <w:r w:rsidR="00537A07">
              <w:rPr>
                <w:noProof/>
                <w:webHidden/>
              </w:rPr>
              <w:tab/>
            </w:r>
            <w:r w:rsidR="00537A07">
              <w:rPr>
                <w:noProof/>
                <w:webHidden/>
              </w:rPr>
              <w:fldChar w:fldCharType="begin"/>
            </w:r>
            <w:r w:rsidR="00537A07">
              <w:rPr>
                <w:noProof/>
                <w:webHidden/>
              </w:rPr>
              <w:instrText xml:space="preserve"> PAGEREF _Toc33171567 \h </w:instrText>
            </w:r>
            <w:r w:rsidR="00537A07">
              <w:rPr>
                <w:noProof/>
                <w:webHidden/>
              </w:rPr>
            </w:r>
            <w:r w:rsidR="00537A07">
              <w:rPr>
                <w:noProof/>
                <w:webHidden/>
              </w:rPr>
              <w:fldChar w:fldCharType="separate"/>
            </w:r>
            <w:r w:rsidR="00217041">
              <w:rPr>
                <w:noProof/>
                <w:webHidden/>
              </w:rPr>
              <w:t>2</w:t>
            </w:r>
            <w:r w:rsidR="00537A07">
              <w:rPr>
                <w:noProof/>
                <w:webHidden/>
              </w:rPr>
              <w:fldChar w:fldCharType="end"/>
            </w:r>
          </w:hyperlink>
        </w:p>
        <w:p w14:paraId="38BC974E" w14:textId="6F1E9409" w:rsidR="00537A07" w:rsidRDefault="00173E14">
          <w:pPr>
            <w:pStyle w:val="TOC2"/>
            <w:tabs>
              <w:tab w:val="right" w:leader="dot" w:pos="9350"/>
            </w:tabs>
            <w:rPr>
              <w:rFonts w:eastAsiaTheme="minorEastAsia"/>
              <w:noProof/>
              <w:lang w:val="en-US"/>
            </w:rPr>
          </w:pPr>
          <w:hyperlink w:anchor="_Toc33171568" w:history="1">
            <w:r w:rsidR="00537A07" w:rsidRPr="002B2D72">
              <w:rPr>
                <w:rStyle w:val="Hyperlink"/>
                <w:noProof/>
              </w:rPr>
              <w:t>La philosophie à la base du nouveau Guide</w:t>
            </w:r>
            <w:r w:rsidR="00537A07">
              <w:rPr>
                <w:noProof/>
                <w:webHidden/>
              </w:rPr>
              <w:tab/>
            </w:r>
            <w:r w:rsidR="00537A07">
              <w:rPr>
                <w:noProof/>
                <w:webHidden/>
              </w:rPr>
              <w:fldChar w:fldCharType="begin"/>
            </w:r>
            <w:r w:rsidR="00537A07">
              <w:rPr>
                <w:noProof/>
                <w:webHidden/>
              </w:rPr>
              <w:instrText xml:space="preserve"> PAGEREF _Toc33171568 \h </w:instrText>
            </w:r>
            <w:r w:rsidR="00537A07">
              <w:rPr>
                <w:noProof/>
                <w:webHidden/>
              </w:rPr>
            </w:r>
            <w:r w:rsidR="00537A07">
              <w:rPr>
                <w:noProof/>
                <w:webHidden/>
              </w:rPr>
              <w:fldChar w:fldCharType="separate"/>
            </w:r>
            <w:r w:rsidR="00217041">
              <w:rPr>
                <w:noProof/>
                <w:webHidden/>
              </w:rPr>
              <w:t>3</w:t>
            </w:r>
            <w:r w:rsidR="00537A07">
              <w:rPr>
                <w:noProof/>
                <w:webHidden/>
              </w:rPr>
              <w:fldChar w:fldCharType="end"/>
            </w:r>
          </w:hyperlink>
        </w:p>
        <w:p w14:paraId="36056DDE" w14:textId="321A7C4C" w:rsidR="00537A07" w:rsidRDefault="00173E14">
          <w:pPr>
            <w:pStyle w:val="TOC2"/>
            <w:tabs>
              <w:tab w:val="right" w:leader="dot" w:pos="9350"/>
            </w:tabs>
            <w:rPr>
              <w:rFonts w:eastAsiaTheme="minorEastAsia"/>
              <w:noProof/>
              <w:lang w:val="en-US"/>
            </w:rPr>
          </w:pPr>
          <w:hyperlink w:anchor="_Toc33171569" w:history="1">
            <w:r w:rsidR="00537A07" w:rsidRPr="002B2D72">
              <w:rPr>
                <w:rStyle w:val="Hyperlink"/>
                <w:noProof/>
              </w:rPr>
              <w:t>Points d’intérêt du cours sur le GAFTO</w:t>
            </w:r>
            <w:r w:rsidR="00537A07">
              <w:rPr>
                <w:noProof/>
                <w:webHidden/>
              </w:rPr>
              <w:tab/>
            </w:r>
            <w:r w:rsidR="00537A07">
              <w:rPr>
                <w:noProof/>
                <w:webHidden/>
              </w:rPr>
              <w:fldChar w:fldCharType="begin"/>
            </w:r>
            <w:r w:rsidR="00537A07">
              <w:rPr>
                <w:noProof/>
                <w:webHidden/>
              </w:rPr>
              <w:instrText xml:space="preserve"> PAGEREF _Toc33171569 \h </w:instrText>
            </w:r>
            <w:r w:rsidR="00537A07">
              <w:rPr>
                <w:noProof/>
                <w:webHidden/>
              </w:rPr>
            </w:r>
            <w:r w:rsidR="00537A07">
              <w:rPr>
                <w:noProof/>
                <w:webHidden/>
              </w:rPr>
              <w:fldChar w:fldCharType="separate"/>
            </w:r>
            <w:r w:rsidR="00217041">
              <w:rPr>
                <w:noProof/>
                <w:webHidden/>
              </w:rPr>
              <w:t>4</w:t>
            </w:r>
            <w:r w:rsidR="00537A07">
              <w:rPr>
                <w:noProof/>
                <w:webHidden/>
              </w:rPr>
              <w:fldChar w:fldCharType="end"/>
            </w:r>
          </w:hyperlink>
        </w:p>
        <w:p w14:paraId="0954B205" w14:textId="514A47ED" w:rsidR="00537A07" w:rsidRDefault="00173E14">
          <w:pPr>
            <w:pStyle w:val="TOC2"/>
            <w:tabs>
              <w:tab w:val="right" w:leader="dot" w:pos="9350"/>
            </w:tabs>
            <w:rPr>
              <w:rFonts w:eastAsiaTheme="minorEastAsia"/>
              <w:noProof/>
              <w:lang w:val="en-US"/>
            </w:rPr>
          </w:pPr>
          <w:hyperlink w:anchor="_Toc33171570" w:history="1">
            <w:r w:rsidR="00537A07" w:rsidRPr="002B2D72">
              <w:rPr>
                <w:rStyle w:val="Hyperlink"/>
                <w:noProof/>
              </w:rPr>
              <w:t>Personnaliser le contenu du cours</w:t>
            </w:r>
            <w:r w:rsidR="00537A07">
              <w:rPr>
                <w:noProof/>
                <w:webHidden/>
              </w:rPr>
              <w:tab/>
            </w:r>
            <w:r w:rsidR="00537A07">
              <w:rPr>
                <w:noProof/>
                <w:webHidden/>
              </w:rPr>
              <w:fldChar w:fldCharType="begin"/>
            </w:r>
            <w:r w:rsidR="00537A07">
              <w:rPr>
                <w:noProof/>
                <w:webHidden/>
              </w:rPr>
              <w:instrText xml:space="preserve"> PAGEREF _Toc33171570 \h </w:instrText>
            </w:r>
            <w:r w:rsidR="00537A07">
              <w:rPr>
                <w:noProof/>
                <w:webHidden/>
              </w:rPr>
            </w:r>
            <w:r w:rsidR="00537A07">
              <w:rPr>
                <w:noProof/>
                <w:webHidden/>
              </w:rPr>
              <w:fldChar w:fldCharType="separate"/>
            </w:r>
            <w:r w:rsidR="00217041">
              <w:rPr>
                <w:noProof/>
                <w:webHidden/>
              </w:rPr>
              <w:t>4</w:t>
            </w:r>
            <w:r w:rsidR="00537A07">
              <w:rPr>
                <w:noProof/>
                <w:webHidden/>
              </w:rPr>
              <w:fldChar w:fldCharType="end"/>
            </w:r>
          </w:hyperlink>
        </w:p>
        <w:p w14:paraId="113E3187" w14:textId="3B0CF3E2" w:rsidR="00537A07" w:rsidRDefault="00173E14">
          <w:pPr>
            <w:pStyle w:val="TOC1"/>
            <w:tabs>
              <w:tab w:val="right" w:leader="dot" w:pos="9350"/>
            </w:tabs>
            <w:rPr>
              <w:rFonts w:eastAsiaTheme="minorEastAsia"/>
              <w:noProof/>
              <w:lang w:val="en-US"/>
            </w:rPr>
          </w:pPr>
          <w:hyperlink w:anchor="_Toc33171571" w:history="1">
            <w:r w:rsidR="00537A07" w:rsidRPr="002B2D72">
              <w:rPr>
                <w:rStyle w:val="Hyperlink"/>
                <w:noProof/>
              </w:rPr>
              <w:t>Directives préalables à la formation</w:t>
            </w:r>
            <w:r w:rsidR="00537A07">
              <w:rPr>
                <w:noProof/>
                <w:webHidden/>
              </w:rPr>
              <w:tab/>
            </w:r>
            <w:r w:rsidR="00537A07">
              <w:rPr>
                <w:noProof/>
                <w:webHidden/>
              </w:rPr>
              <w:fldChar w:fldCharType="begin"/>
            </w:r>
            <w:r w:rsidR="00537A07">
              <w:rPr>
                <w:noProof/>
                <w:webHidden/>
              </w:rPr>
              <w:instrText xml:space="preserve"> PAGEREF _Toc33171571 \h </w:instrText>
            </w:r>
            <w:r w:rsidR="00537A07">
              <w:rPr>
                <w:noProof/>
                <w:webHidden/>
              </w:rPr>
            </w:r>
            <w:r w:rsidR="00537A07">
              <w:rPr>
                <w:noProof/>
                <w:webHidden/>
              </w:rPr>
              <w:fldChar w:fldCharType="separate"/>
            </w:r>
            <w:r w:rsidR="00217041">
              <w:rPr>
                <w:noProof/>
                <w:webHidden/>
              </w:rPr>
              <w:t>5</w:t>
            </w:r>
            <w:r w:rsidR="00537A07">
              <w:rPr>
                <w:noProof/>
                <w:webHidden/>
              </w:rPr>
              <w:fldChar w:fldCharType="end"/>
            </w:r>
          </w:hyperlink>
        </w:p>
        <w:p w14:paraId="19FEB501" w14:textId="727B54ED" w:rsidR="00537A07" w:rsidRDefault="00173E14">
          <w:pPr>
            <w:pStyle w:val="TOC1"/>
            <w:tabs>
              <w:tab w:val="right" w:leader="dot" w:pos="9350"/>
            </w:tabs>
            <w:rPr>
              <w:rFonts w:eastAsiaTheme="minorEastAsia"/>
              <w:noProof/>
              <w:lang w:val="en-US"/>
            </w:rPr>
          </w:pPr>
          <w:hyperlink w:anchor="_Toc33171572" w:history="1">
            <w:r w:rsidR="00537A07" w:rsidRPr="002B2D72">
              <w:rPr>
                <w:rStyle w:val="Hyperlink"/>
                <w:noProof/>
              </w:rPr>
              <w:t>Préparation en vue du cours</w:t>
            </w:r>
            <w:r w:rsidR="00537A07">
              <w:rPr>
                <w:noProof/>
                <w:webHidden/>
              </w:rPr>
              <w:tab/>
            </w:r>
            <w:r w:rsidR="00537A07">
              <w:rPr>
                <w:noProof/>
                <w:webHidden/>
              </w:rPr>
              <w:fldChar w:fldCharType="begin"/>
            </w:r>
            <w:r w:rsidR="00537A07">
              <w:rPr>
                <w:noProof/>
                <w:webHidden/>
              </w:rPr>
              <w:instrText xml:space="preserve"> PAGEREF _Toc33171572 \h </w:instrText>
            </w:r>
            <w:r w:rsidR="00537A07">
              <w:rPr>
                <w:noProof/>
                <w:webHidden/>
              </w:rPr>
            </w:r>
            <w:r w:rsidR="00537A07">
              <w:rPr>
                <w:noProof/>
                <w:webHidden/>
              </w:rPr>
              <w:fldChar w:fldCharType="separate"/>
            </w:r>
            <w:r w:rsidR="00217041">
              <w:rPr>
                <w:noProof/>
                <w:webHidden/>
              </w:rPr>
              <w:t>6</w:t>
            </w:r>
            <w:r w:rsidR="00537A07">
              <w:rPr>
                <w:noProof/>
                <w:webHidden/>
              </w:rPr>
              <w:fldChar w:fldCharType="end"/>
            </w:r>
          </w:hyperlink>
        </w:p>
        <w:p w14:paraId="5B729A3D" w14:textId="520703AE" w:rsidR="00537A07" w:rsidRDefault="00173E14">
          <w:pPr>
            <w:pStyle w:val="TOC2"/>
            <w:tabs>
              <w:tab w:val="right" w:leader="dot" w:pos="9350"/>
            </w:tabs>
            <w:rPr>
              <w:rFonts w:eastAsiaTheme="minorEastAsia"/>
              <w:noProof/>
              <w:lang w:val="en-US"/>
            </w:rPr>
          </w:pPr>
          <w:hyperlink w:anchor="_Toc33171573" w:history="1">
            <w:r w:rsidR="00537A07" w:rsidRPr="002B2D72">
              <w:rPr>
                <w:rStyle w:val="Hyperlink"/>
                <w:noProof/>
              </w:rPr>
              <w:t>Activités « Faites travailler vos méninges »</w:t>
            </w:r>
            <w:r w:rsidR="00537A07">
              <w:rPr>
                <w:noProof/>
                <w:webHidden/>
              </w:rPr>
              <w:tab/>
            </w:r>
            <w:r w:rsidR="00537A07">
              <w:rPr>
                <w:noProof/>
                <w:webHidden/>
              </w:rPr>
              <w:fldChar w:fldCharType="begin"/>
            </w:r>
            <w:r w:rsidR="00537A07">
              <w:rPr>
                <w:noProof/>
                <w:webHidden/>
              </w:rPr>
              <w:instrText xml:space="preserve"> PAGEREF _Toc33171573 \h </w:instrText>
            </w:r>
            <w:r w:rsidR="00537A07">
              <w:rPr>
                <w:noProof/>
                <w:webHidden/>
              </w:rPr>
            </w:r>
            <w:r w:rsidR="00537A07">
              <w:rPr>
                <w:noProof/>
                <w:webHidden/>
              </w:rPr>
              <w:fldChar w:fldCharType="separate"/>
            </w:r>
            <w:r w:rsidR="00217041">
              <w:rPr>
                <w:noProof/>
                <w:webHidden/>
              </w:rPr>
              <w:t>6</w:t>
            </w:r>
            <w:r w:rsidR="00537A07">
              <w:rPr>
                <w:noProof/>
                <w:webHidden/>
              </w:rPr>
              <w:fldChar w:fldCharType="end"/>
            </w:r>
          </w:hyperlink>
        </w:p>
        <w:p w14:paraId="5693FCD0" w14:textId="4A388876" w:rsidR="00537A07" w:rsidRDefault="00173E14">
          <w:pPr>
            <w:pStyle w:val="TOC3"/>
            <w:tabs>
              <w:tab w:val="right" w:leader="dot" w:pos="9350"/>
            </w:tabs>
            <w:rPr>
              <w:rFonts w:eastAsiaTheme="minorEastAsia"/>
              <w:noProof/>
              <w:lang w:val="en-US"/>
            </w:rPr>
          </w:pPr>
          <w:hyperlink w:anchor="_Toc33171574" w:history="1">
            <w:r w:rsidR="00537A07" w:rsidRPr="002B2D72">
              <w:rPr>
                <w:rStyle w:val="Hyperlink"/>
                <w:noProof/>
              </w:rPr>
              <w:t>« Faites travailler vos méninges » – activité 1 : D’après votre propre expérience</w:t>
            </w:r>
            <w:r w:rsidR="00537A07">
              <w:rPr>
                <w:noProof/>
                <w:webHidden/>
              </w:rPr>
              <w:tab/>
            </w:r>
            <w:r w:rsidR="00537A07">
              <w:rPr>
                <w:noProof/>
                <w:webHidden/>
              </w:rPr>
              <w:fldChar w:fldCharType="begin"/>
            </w:r>
            <w:r w:rsidR="00537A07">
              <w:rPr>
                <w:noProof/>
                <w:webHidden/>
              </w:rPr>
              <w:instrText xml:space="preserve"> PAGEREF _Toc33171574 \h </w:instrText>
            </w:r>
            <w:r w:rsidR="00537A07">
              <w:rPr>
                <w:noProof/>
                <w:webHidden/>
              </w:rPr>
            </w:r>
            <w:r w:rsidR="00537A07">
              <w:rPr>
                <w:noProof/>
                <w:webHidden/>
              </w:rPr>
              <w:fldChar w:fldCharType="separate"/>
            </w:r>
            <w:r w:rsidR="00217041">
              <w:rPr>
                <w:noProof/>
                <w:webHidden/>
              </w:rPr>
              <w:t>6</w:t>
            </w:r>
            <w:r w:rsidR="00537A07">
              <w:rPr>
                <w:noProof/>
                <w:webHidden/>
              </w:rPr>
              <w:fldChar w:fldCharType="end"/>
            </w:r>
          </w:hyperlink>
        </w:p>
        <w:p w14:paraId="06568B90" w14:textId="3F9BFC55" w:rsidR="00537A07" w:rsidRDefault="00173E14">
          <w:pPr>
            <w:pStyle w:val="TOC3"/>
            <w:tabs>
              <w:tab w:val="right" w:leader="dot" w:pos="9350"/>
            </w:tabs>
            <w:rPr>
              <w:rFonts w:eastAsiaTheme="minorEastAsia"/>
              <w:noProof/>
              <w:lang w:val="en-US"/>
            </w:rPr>
          </w:pPr>
          <w:hyperlink w:anchor="_Toc33171575" w:history="1">
            <w:r w:rsidR="00537A07" w:rsidRPr="002B2D72">
              <w:rPr>
                <w:rStyle w:val="Hyperlink"/>
                <w:noProof/>
              </w:rPr>
              <w:t>« Faites travailler vos méninges » – activité 2 : Manquement à un principe ou à une directive</w:t>
            </w:r>
            <w:r w:rsidR="00537A07">
              <w:rPr>
                <w:noProof/>
                <w:webHidden/>
              </w:rPr>
              <w:tab/>
            </w:r>
            <w:r w:rsidR="00537A07">
              <w:rPr>
                <w:noProof/>
                <w:webHidden/>
              </w:rPr>
              <w:fldChar w:fldCharType="begin"/>
            </w:r>
            <w:r w:rsidR="00537A07">
              <w:rPr>
                <w:noProof/>
                <w:webHidden/>
              </w:rPr>
              <w:instrText xml:space="preserve"> PAGEREF _Toc33171575 \h </w:instrText>
            </w:r>
            <w:r w:rsidR="00537A07">
              <w:rPr>
                <w:noProof/>
                <w:webHidden/>
              </w:rPr>
            </w:r>
            <w:r w:rsidR="00537A07">
              <w:rPr>
                <w:noProof/>
                <w:webHidden/>
              </w:rPr>
              <w:fldChar w:fldCharType="separate"/>
            </w:r>
            <w:r w:rsidR="00217041">
              <w:rPr>
                <w:noProof/>
                <w:webHidden/>
              </w:rPr>
              <w:t>7</w:t>
            </w:r>
            <w:r w:rsidR="00537A07">
              <w:rPr>
                <w:noProof/>
                <w:webHidden/>
              </w:rPr>
              <w:fldChar w:fldCharType="end"/>
            </w:r>
          </w:hyperlink>
        </w:p>
        <w:p w14:paraId="4134B82D" w14:textId="3830B557" w:rsidR="00537A07" w:rsidRDefault="00173E14">
          <w:pPr>
            <w:pStyle w:val="TOC3"/>
            <w:tabs>
              <w:tab w:val="right" w:leader="dot" w:pos="9350"/>
            </w:tabs>
            <w:rPr>
              <w:rFonts w:eastAsiaTheme="minorEastAsia"/>
              <w:noProof/>
              <w:lang w:val="en-US"/>
            </w:rPr>
          </w:pPr>
          <w:hyperlink w:anchor="_Toc33171576" w:history="1">
            <w:r w:rsidR="00537A07" w:rsidRPr="002B2D72">
              <w:rPr>
                <w:rStyle w:val="Hyperlink"/>
                <w:noProof/>
              </w:rPr>
              <w:t>« Faites travailler vos méninges » – activité 3 : Étude de cas</w:t>
            </w:r>
            <w:r w:rsidR="00537A07">
              <w:rPr>
                <w:noProof/>
                <w:webHidden/>
              </w:rPr>
              <w:tab/>
            </w:r>
            <w:r w:rsidR="00537A07">
              <w:rPr>
                <w:noProof/>
                <w:webHidden/>
              </w:rPr>
              <w:fldChar w:fldCharType="begin"/>
            </w:r>
            <w:r w:rsidR="00537A07">
              <w:rPr>
                <w:noProof/>
                <w:webHidden/>
              </w:rPr>
              <w:instrText xml:space="preserve"> PAGEREF _Toc33171576 \h </w:instrText>
            </w:r>
            <w:r w:rsidR="00537A07">
              <w:rPr>
                <w:noProof/>
                <w:webHidden/>
              </w:rPr>
            </w:r>
            <w:r w:rsidR="00537A07">
              <w:rPr>
                <w:noProof/>
                <w:webHidden/>
              </w:rPr>
              <w:fldChar w:fldCharType="separate"/>
            </w:r>
            <w:r w:rsidR="00217041">
              <w:rPr>
                <w:noProof/>
                <w:webHidden/>
              </w:rPr>
              <w:t>8</w:t>
            </w:r>
            <w:r w:rsidR="00537A07">
              <w:rPr>
                <w:noProof/>
                <w:webHidden/>
              </w:rPr>
              <w:fldChar w:fldCharType="end"/>
            </w:r>
          </w:hyperlink>
        </w:p>
        <w:p w14:paraId="1E8A7E47" w14:textId="13A5C554" w:rsidR="00537A07" w:rsidRDefault="00173E14">
          <w:pPr>
            <w:pStyle w:val="TOC1"/>
            <w:tabs>
              <w:tab w:val="right" w:leader="dot" w:pos="9350"/>
            </w:tabs>
            <w:rPr>
              <w:rFonts w:eastAsiaTheme="minorEastAsia"/>
              <w:noProof/>
              <w:lang w:val="en-US"/>
            </w:rPr>
          </w:pPr>
          <w:hyperlink w:anchor="_Toc33171577" w:history="1">
            <w:r w:rsidR="00537A07" w:rsidRPr="002B2D72">
              <w:rPr>
                <w:rStyle w:val="Hyperlink"/>
                <w:noProof/>
              </w:rPr>
              <w:t>Notes pour la prestation du cours</w:t>
            </w:r>
            <w:r w:rsidR="00537A07">
              <w:rPr>
                <w:noProof/>
                <w:webHidden/>
              </w:rPr>
              <w:tab/>
            </w:r>
            <w:r w:rsidR="00537A07">
              <w:rPr>
                <w:noProof/>
                <w:webHidden/>
              </w:rPr>
              <w:fldChar w:fldCharType="begin"/>
            </w:r>
            <w:r w:rsidR="00537A07">
              <w:rPr>
                <w:noProof/>
                <w:webHidden/>
              </w:rPr>
              <w:instrText xml:space="preserve"> PAGEREF _Toc33171577 \h </w:instrText>
            </w:r>
            <w:r w:rsidR="00537A07">
              <w:rPr>
                <w:noProof/>
                <w:webHidden/>
              </w:rPr>
            </w:r>
            <w:r w:rsidR="00537A07">
              <w:rPr>
                <w:noProof/>
                <w:webHidden/>
              </w:rPr>
              <w:fldChar w:fldCharType="separate"/>
            </w:r>
            <w:r w:rsidR="00217041">
              <w:rPr>
                <w:noProof/>
                <w:webHidden/>
              </w:rPr>
              <w:t>9</w:t>
            </w:r>
            <w:r w:rsidR="00537A07">
              <w:rPr>
                <w:noProof/>
                <w:webHidden/>
              </w:rPr>
              <w:fldChar w:fldCharType="end"/>
            </w:r>
          </w:hyperlink>
        </w:p>
        <w:p w14:paraId="421B1ACC" w14:textId="109CF406" w:rsidR="00537A07" w:rsidRDefault="00173E14">
          <w:pPr>
            <w:pStyle w:val="TOC2"/>
            <w:tabs>
              <w:tab w:val="right" w:leader="dot" w:pos="9350"/>
            </w:tabs>
            <w:rPr>
              <w:rFonts w:eastAsiaTheme="minorEastAsia"/>
              <w:noProof/>
              <w:lang w:val="en-US"/>
            </w:rPr>
          </w:pPr>
          <w:hyperlink w:anchor="_Toc33171578" w:history="1">
            <w:r w:rsidR="00537A07" w:rsidRPr="002B2D72">
              <w:rPr>
                <w:rStyle w:val="Hyperlink"/>
                <w:noProof/>
              </w:rPr>
              <w:t>Approche</w:t>
            </w:r>
            <w:r w:rsidR="00537A07">
              <w:rPr>
                <w:noProof/>
                <w:webHidden/>
              </w:rPr>
              <w:tab/>
            </w:r>
            <w:r w:rsidR="00537A07">
              <w:rPr>
                <w:noProof/>
                <w:webHidden/>
              </w:rPr>
              <w:fldChar w:fldCharType="begin"/>
            </w:r>
            <w:r w:rsidR="00537A07">
              <w:rPr>
                <w:noProof/>
                <w:webHidden/>
              </w:rPr>
              <w:instrText xml:space="preserve"> PAGEREF _Toc33171578 \h </w:instrText>
            </w:r>
            <w:r w:rsidR="00537A07">
              <w:rPr>
                <w:noProof/>
                <w:webHidden/>
              </w:rPr>
            </w:r>
            <w:r w:rsidR="00537A07">
              <w:rPr>
                <w:noProof/>
                <w:webHidden/>
              </w:rPr>
              <w:fldChar w:fldCharType="separate"/>
            </w:r>
            <w:r w:rsidR="00217041">
              <w:rPr>
                <w:noProof/>
                <w:webHidden/>
              </w:rPr>
              <w:t>9</w:t>
            </w:r>
            <w:r w:rsidR="00537A07">
              <w:rPr>
                <w:noProof/>
                <w:webHidden/>
              </w:rPr>
              <w:fldChar w:fldCharType="end"/>
            </w:r>
          </w:hyperlink>
        </w:p>
        <w:p w14:paraId="24DFD602" w14:textId="13B1C161" w:rsidR="00537A07" w:rsidRDefault="00173E14">
          <w:pPr>
            <w:pStyle w:val="TOC2"/>
            <w:tabs>
              <w:tab w:val="right" w:leader="dot" w:pos="9350"/>
            </w:tabs>
            <w:rPr>
              <w:rFonts w:eastAsiaTheme="minorEastAsia"/>
              <w:noProof/>
              <w:lang w:val="en-US"/>
            </w:rPr>
          </w:pPr>
          <w:hyperlink w:anchor="_Toc33171579" w:history="1">
            <w:r w:rsidR="00537A07" w:rsidRPr="002B2D72">
              <w:rPr>
                <w:rStyle w:val="Hyperlink"/>
                <w:noProof/>
              </w:rPr>
              <w:t>Nombre de participants aux séances</w:t>
            </w:r>
            <w:r w:rsidR="00537A07">
              <w:rPr>
                <w:noProof/>
                <w:webHidden/>
              </w:rPr>
              <w:tab/>
            </w:r>
            <w:r w:rsidR="00537A07">
              <w:rPr>
                <w:noProof/>
                <w:webHidden/>
              </w:rPr>
              <w:fldChar w:fldCharType="begin"/>
            </w:r>
            <w:r w:rsidR="00537A07">
              <w:rPr>
                <w:noProof/>
                <w:webHidden/>
              </w:rPr>
              <w:instrText xml:space="preserve"> PAGEREF _Toc33171579 \h </w:instrText>
            </w:r>
            <w:r w:rsidR="00537A07">
              <w:rPr>
                <w:noProof/>
                <w:webHidden/>
              </w:rPr>
            </w:r>
            <w:r w:rsidR="00537A07">
              <w:rPr>
                <w:noProof/>
                <w:webHidden/>
              </w:rPr>
              <w:fldChar w:fldCharType="separate"/>
            </w:r>
            <w:r w:rsidR="00217041">
              <w:rPr>
                <w:noProof/>
                <w:webHidden/>
              </w:rPr>
              <w:t>10</w:t>
            </w:r>
            <w:r w:rsidR="00537A07">
              <w:rPr>
                <w:noProof/>
                <w:webHidden/>
              </w:rPr>
              <w:fldChar w:fldCharType="end"/>
            </w:r>
          </w:hyperlink>
        </w:p>
        <w:p w14:paraId="3A21D2A9" w14:textId="0786963F" w:rsidR="00537A07" w:rsidRDefault="00173E14">
          <w:pPr>
            <w:pStyle w:val="TOC2"/>
            <w:tabs>
              <w:tab w:val="right" w:leader="dot" w:pos="9350"/>
            </w:tabs>
            <w:rPr>
              <w:rFonts w:eastAsiaTheme="minorEastAsia"/>
              <w:noProof/>
              <w:lang w:val="en-US"/>
            </w:rPr>
          </w:pPr>
          <w:hyperlink w:anchor="_Toc33171580" w:history="1">
            <w:r w:rsidR="00537A07" w:rsidRPr="002B2D72">
              <w:rPr>
                <w:rStyle w:val="Hyperlink"/>
                <w:noProof/>
              </w:rPr>
              <w:t>Taille des groupes pour les activités « Faites travailler vos méninges »</w:t>
            </w:r>
            <w:r w:rsidR="00537A07">
              <w:rPr>
                <w:noProof/>
                <w:webHidden/>
              </w:rPr>
              <w:tab/>
            </w:r>
            <w:r w:rsidR="00537A07">
              <w:rPr>
                <w:noProof/>
                <w:webHidden/>
              </w:rPr>
              <w:fldChar w:fldCharType="begin"/>
            </w:r>
            <w:r w:rsidR="00537A07">
              <w:rPr>
                <w:noProof/>
                <w:webHidden/>
              </w:rPr>
              <w:instrText xml:space="preserve"> PAGEREF _Toc33171580 \h </w:instrText>
            </w:r>
            <w:r w:rsidR="00537A07">
              <w:rPr>
                <w:noProof/>
                <w:webHidden/>
              </w:rPr>
            </w:r>
            <w:r w:rsidR="00537A07">
              <w:rPr>
                <w:noProof/>
                <w:webHidden/>
              </w:rPr>
              <w:fldChar w:fldCharType="separate"/>
            </w:r>
            <w:r w:rsidR="00217041">
              <w:rPr>
                <w:noProof/>
                <w:webHidden/>
              </w:rPr>
              <w:t>10</w:t>
            </w:r>
            <w:r w:rsidR="00537A07">
              <w:rPr>
                <w:noProof/>
                <w:webHidden/>
              </w:rPr>
              <w:fldChar w:fldCharType="end"/>
            </w:r>
          </w:hyperlink>
        </w:p>
        <w:p w14:paraId="3E9B5F42" w14:textId="1AF1D04A" w:rsidR="00537A07" w:rsidRDefault="00173E14">
          <w:pPr>
            <w:pStyle w:val="TOC2"/>
            <w:tabs>
              <w:tab w:val="right" w:leader="dot" w:pos="9350"/>
            </w:tabs>
            <w:rPr>
              <w:rFonts w:eastAsiaTheme="minorEastAsia"/>
              <w:noProof/>
              <w:lang w:val="en-US"/>
            </w:rPr>
          </w:pPr>
          <w:hyperlink w:anchor="_Toc33171581" w:history="1">
            <w:r w:rsidR="00537A07" w:rsidRPr="002B2D72">
              <w:rPr>
                <w:rStyle w:val="Hyperlink"/>
                <w:noProof/>
              </w:rPr>
              <w:t>Application des principes</w:t>
            </w:r>
            <w:r w:rsidR="00537A07">
              <w:rPr>
                <w:noProof/>
                <w:webHidden/>
              </w:rPr>
              <w:tab/>
            </w:r>
            <w:r w:rsidR="00537A07">
              <w:rPr>
                <w:noProof/>
                <w:webHidden/>
              </w:rPr>
              <w:fldChar w:fldCharType="begin"/>
            </w:r>
            <w:r w:rsidR="00537A07">
              <w:rPr>
                <w:noProof/>
                <w:webHidden/>
              </w:rPr>
              <w:instrText xml:space="preserve"> PAGEREF _Toc33171581 \h </w:instrText>
            </w:r>
            <w:r w:rsidR="00537A07">
              <w:rPr>
                <w:noProof/>
                <w:webHidden/>
              </w:rPr>
            </w:r>
            <w:r w:rsidR="00537A07">
              <w:rPr>
                <w:noProof/>
                <w:webHidden/>
              </w:rPr>
              <w:fldChar w:fldCharType="separate"/>
            </w:r>
            <w:r w:rsidR="00217041">
              <w:rPr>
                <w:noProof/>
                <w:webHidden/>
              </w:rPr>
              <w:t>10</w:t>
            </w:r>
            <w:r w:rsidR="00537A07">
              <w:rPr>
                <w:noProof/>
                <w:webHidden/>
              </w:rPr>
              <w:fldChar w:fldCharType="end"/>
            </w:r>
          </w:hyperlink>
        </w:p>
        <w:p w14:paraId="69A233DA" w14:textId="6673B358" w:rsidR="00537A07" w:rsidRDefault="00537A07">
          <w:pPr>
            <w:pStyle w:val="TOC3"/>
            <w:tabs>
              <w:tab w:val="right" w:leader="dot" w:pos="9350"/>
            </w:tabs>
            <w:rPr>
              <w:rFonts w:eastAsiaTheme="minorEastAsia"/>
              <w:noProof/>
              <w:lang w:val="en-US"/>
            </w:rPr>
          </w:pPr>
        </w:p>
        <w:p w14:paraId="6346CB00" w14:textId="32D863E6" w:rsidR="00040E65" w:rsidRPr="003D4DA4" w:rsidRDefault="00040E65">
          <w:r w:rsidRPr="003D4DA4">
            <w:rPr>
              <w:b/>
              <w:bCs/>
            </w:rPr>
            <w:fldChar w:fldCharType="end"/>
          </w:r>
        </w:p>
      </w:sdtContent>
    </w:sdt>
    <w:p w14:paraId="2DE69C5D" w14:textId="77777777" w:rsidR="00040E65" w:rsidRPr="003D4DA4" w:rsidRDefault="00040E65"/>
    <w:p w14:paraId="03095BB4" w14:textId="77777777" w:rsidR="00040E65" w:rsidRPr="003D4DA4" w:rsidRDefault="00040E65">
      <w:pPr>
        <w:rPr>
          <w:rFonts w:asciiTheme="majorHAnsi" w:eastAsiaTheme="majorEastAsia" w:hAnsiTheme="majorHAnsi" w:cstheme="majorBidi"/>
          <w:color w:val="2E74B5" w:themeColor="accent1" w:themeShade="BF"/>
          <w:sz w:val="32"/>
          <w:szCs w:val="32"/>
        </w:rPr>
      </w:pPr>
      <w:r w:rsidRPr="003D4DA4">
        <w:br w:type="page"/>
      </w:r>
    </w:p>
    <w:p w14:paraId="190FB98C" w14:textId="77777777" w:rsidR="007A782E" w:rsidRPr="003D4DA4" w:rsidRDefault="00D83685" w:rsidP="007A782E">
      <w:pPr>
        <w:pStyle w:val="Heading1"/>
      </w:pPr>
      <w:bookmarkStart w:id="1" w:name="_Toc33171565"/>
      <w:r w:rsidRPr="003D4DA4">
        <w:lastRenderedPageBreak/>
        <w:t>Introduction</w:t>
      </w:r>
      <w:bookmarkEnd w:id="1"/>
    </w:p>
    <w:p w14:paraId="0B4DE956" w14:textId="2827F552" w:rsidR="00D83685" w:rsidRPr="003D4DA4" w:rsidRDefault="00D83685" w:rsidP="00A642F7">
      <w:pPr>
        <w:pStyle w:val="Heading2"/>
      </w:pPr>
      <w:bookmarkStart w:id="2" w:name="_Toc33171566"/>
      <w:r w:rsidRPr="003D4DA4">
        <w:t>But</w:t>
      </w:r>
      <w:bookmarkEnd w:id="2"/>
    </w:p>
    <w:p w14:paraId="06AB28CF" w14:textId="7A933449" w:rsidR="003A1423" w:rsidRPr="003D4DA4" w:rsidRDefault="00A642F7" w:rsidP="00A642F7">
      <w:r w:rsidRPr="003D4DA4">
        <w:t>L</w:t>
      </w:r>
      <w:r w:rsidR="00F03D95" w:rsidRPr="003D4DA4">
        <w:t>’</w:t>
      </w:r>
      <w:r w:rsidRPr="003D4DA4">
        <w:t xml:space="preserve">objectif </w:t>
      </w:r>
      <w:r w:rsidR="0030262D" w:rsidRPr="003D4DA4">
        <w:t>du présent</w:t>
      </w:r>
      <w:r w:rsidRPr="003D4DA4">
        <w:t xml:space="preserve"> guide est d</w:t>
      </w:r>
      <w:r w:rsidR="00F03D95" w:rsidRPr="003D4DA4">
        <w:t>’</w:t>
      </w:r>
      <w:r w:rsidRPr="003D4DA4">
        <w:t>aider les formateurs désignés des établissements administrateurs à préparer et à présenter le cours sur le Guide d</w:t>
      </w:r>
      <w:r w:rsidR="00F03D95" w:rsidRPr="003D4DA4">
        <w:t>’</w:t>
      </w:r>
      <w:r w:rsidRPr="003D4DA4">
        <w:t xml:space="preserve">administration financière des trois organismes (GAFTO). Il fournit des directives sur la conception et le contenu du cours, les exigences relatives à la préparation de la salle ainsi que des directives préalables à la formation. </w:t>
      </w:r>
    </w:p>
    <w:p w14:paraId="46FD3892" w14:textId="47803927" w:rsidR="00A642F7" w:rsidRPr="003D4DA4" w:rsidRDefault="003A1423" w:rsidP="00A642F7">
      <w:r w:rsidRPr="003D4DA4">
        <w:t xml:space="preserve">Pour plus de renseignements sur le </w:t>
      </w:r>
      <w:hyperlink r:id="rId9" w:history="1">
        <w:r w:rsidRPr="003D4DA4">
          <w:rPr>
            <w:rStyle w:val="Hyperlink"/>
          </w:rPr>
          <w:t>GAFTO</w:t>
        </w:r>
      </w:hyperlink>
      <w:r w:rsidRPr="003D4DA4">
        <w:rPr>
          <w:rStyle w:val="Hyperlink"/>
          <w:color w:val="auto"/>
          <w:u w:val="none"/>
        </w:rPr>
        <w:t>, consultez le Guide même ou la présentation PowerPoint du cours sur le GAFTO</w:t>
      </w:r>
      <w:r w:rsidRPr="003D4DA4">
        <w:t>.</w:t>
      </w:r>
    </w:p>
    <w:p w14:paraId="62744E89" w14:textId="3FDBA92E" w:rsidR="005C02E8" w:rsidRPr="003D4DA4" w:rsidRDefault="005C02E8" w:rsidP="00A642F7">
      <w:r w:rsidRPr="003D4DA4">
        <w:t xml:space="preserve">Vous devez faire parvenir vos questions, commentaires ou </w:t>
      </w:r>
      <w:r w:rsidR="0030262D" w:rsidRPr="003D4DA4">
        <w:t xml:space="preserve">observations </w:t>
      </w:r>
      <w:r w:rsidRPr="003D4DA4">
        <w:t xml:space="preserve">concernant le cours et </w:t>
      </w:r>
      <w:r w:rsidR="0030262D" w:rsidRPr="003D4DA4">
        <w:t>le GAFTO</w:t>
      </w:r>
      <w:r w:rsidRPr="003D4DA4">
        <w:t xml:space="preserve"> aux trois organismes à l</w:t>
      </w:r>
      <w:r w:rsidR="00F03D95" w:rsidRPr="003D4DA4">
        <w:t>’</w:t>
      </w:r>
      <w:r w:rsidRPr="003D4DA4">
        <w:t xml:space="preserve">adresse </w:t>
      </w:r>
      <w:hyperlink r:id="rId10" w:history="1">
        <w:r w:rsidRPr="003D4DA4">
          <w:rPr>
            <w:rStyle w:val="Hyperlink"/>
          </w:rPr>
          <w:t>Support-Soutien@cihr-irsc.gc.ca</w:t>
        </w:r>
      </w:hyperlink>
      <w:r w:rsidR="00EF1569" w:rsidRPr="003D4DA4">
        <w:rPr>
          <w:rStyle w:val="Hyperlink"/>
        </w:rPr>
        <w:t xml:space="preserve">. </w:t>
      </w:r>
    </w:p>
    <w:p w14:paraId="7B7018F2" w14:textId="35698FC8" w:rsidR="00D83685" w:rsidRPr="003D4DA4" w:rsidRDefault="00D83685" w:rsidP="00A642F7">
      <w:pPr>
        <w:pStyle w:val="Heading2"/>
      </w:pPr>
      <w:bookmarkStart w:id="3" w:name="_Toc33171567"/>
      <w:r w:rsidRPr="003D4DA4">
        <w:t>Outils à votre disposition (trousse de formation des formateurs)</w:t>
      </w:r>
      <w:bookmarkEnd w:id="3"/>
    </w:p>
    <w:p w14:paraId="1679E8F0" w14:textId="68F627AB" w:rsidR="00D07E08" w:rsidRPr="003D4DA4" w:rsidRDefault="00350F5D" w:rsidP="00D07E08">
      <w:r w:rsidRPr="003D4DA4">
        <w:t xml:space="preserve">La trousse de formation des formateurs contient quatre composantes essentielles pour aider les formateurs à préparer et à </w:t>
      </w:r>
      <w:r w:rsidR="00437634" w:rsidRPr="003D4DA4">
        <w:t xml:space="preserve">donner </w:t>
      </w:r>
      <w:r w:rsidRPr="003D4DA4">
        <w:t>de manière personnalisée le cours sur le GAFTO, y compris le guide de prestation.</w:t>
      </w:r>
    </w:p>
    <w:p w14:paraId="27C23BE8" w14:textId="7FE5EE58" w:rsidR="00301CAF" w:rsidRPr="003D4DA4" w:rsidRDefault="005D046D" w:rsidP="0055717B">
      <w:pPr>
        <w:jc w:val="center"/>
      </w:pPr>
      <w:r>
        <w:rPr>
          <w:noProof/>
          <w:lang w:val="en-US"/>
        </w:rPr>
        <w:drawing>
          <wp:inline distT="0" distB="0" distL="0" distR="0" wp14:anchorId="3CB8629B" wp14:editId="11B5F20F">
            <wp:extent cx="4744700" cy="4686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8271" cy="4689828"/>
                    </a:xfrm>
                    <a:prstGeom prst="rect">
                      <a:avLst/>
                    </a:prstGeom>
                    <a:noFill/>
                  </pic:spPr>
                </pic:pic>
              </a:graphicData>
            </a:graphic>
          </wp:inline>
        </w:drawing>
      </w:r>
    </w:p>
    <w:p w14:paraId="74B8A249" w14:textId="5B917D12" w:rsidR="00350F5D" w:rsidRPr="003D4DA4" w:rsidRDefault="00350F5D" w:rsidP="00D07E08"/>
    <w:p w14:paraId="53902701" w14:textId="4D5E5081" w:rsidR="00CC5686" w:rsidRPr="003D4DA4" w:rsidRDefault="00A67E87" w:rsidP="00D07E08">
      <w:r w:rsidRPr="003D4DA4">
        <w:lastRenderedPageBreak/>
        <w:t xml:space="preserve">Outre la trousse de formation des formateurs, les formateurs sont également encouragés à </w:t>
      </w:r>
      <w:r w:rsidR="003062B2" w:rsidRPr="003D4DA4">
        <w:t>consulter</w:t>
      </w:r>
      <w:r w:rsidRPr="003D4DA4">
        <w:t xml:space="preserve"> la série de ressources complémentaires sur le GAFTO (p. ex. l</w:t>
      </w:r>
      <w:r w:rsidR="00F03D95" w:rsidRPr="003D4DA4">
        <w:t>’</w:t>
      </w:r>
      <w:r w:rsidRPr="003D4DA4">
        <w:t>outil d</w:t>
      </w:r>
      <w:r w:rsidR="00F03D95" w:rsidRPr="003D4DA4">
        <w:t>’</w:t>
      </w:r>
      <w:r w:rsidRPr="003D4DA4">
        <w:t xml:space="preserve">orientation virtuel, les rôles et responsabilités, la foire aux questions, la liste de contrôle sur </w:t>
      </w:r>
      <w:r w:rsidR="003D1E80" w:rsidRPr="003D4DA4">
        <w:t xml:space="preserve">l’état de </w:t>
      </w:r>
      <w:r w:rsidRPr="003D4DA4">
        <w:t xml:space="preserve">préparation et les pratiques exemplaires) accessibles en ligne avec le </w:t>
      </w:r>
      <w:hyperlink r:id="rId12" w:history="1">
        <w:r w:rsidRPr="003D4DA4">
          <w:rPr>
            <w:rStyle w:val="Hyperlink"/>
          </w:rPr>
          <w:t>Guide</w:t>
        </w:r>
      </w:hyperlink>
      <w:r w:rsidRPr="003D4DA4">
        <w:t>.</w:t>
      </w:r>
    </w:p>
    <w:p w14:paraId="00178C70" w14:textId="4977BAC0" w:rsidR="00A642F7" w:rsidRPr="003D4DA4" w:rsidRDefault="00A642F7" w:rsidP="00A642F7">
      <w:pPr>
        <w:pStyle w:val="Heading2"/>
      </w:pPr>
      <w:bookmarkStart w:id="4" w:name="_Toc33171568"/>
      <w:r w:rsidRPr="003D4DA4">
        <w:t>La philosophie à la base du nouveau Guide</w:t>
      </w:r>
      <w:bookmarkEnd w:id="4"/>
    </w:p>
    <w:p w14:paraId="5A1184C7" w14:textId="3778EA5A" w:rsidR="006F5C54" w:rsidRPr="003D4DA4" w:rsidRDefault="00FA6F87" w:rsidP="00CC5686">
      <w:r w:rsidRPr="003D4DA4">
        <w:rPr>
          <w:lang w:val="fr-FR"/>
        </w:rPr>
        <w:t>Le Guide d</w:t>
      </w:r>
      <w:r w:rsidR="00F03D95" w:rsidRPr="003D4DA4">
        <w:rPr>
          <w:lang w:val="fr-FR"/>
        </w:rPr>
        <w:t>’</w:t>
      </w:r>
      <w:r w:rsidRPr="003D4DA4">
        <w:rPr>
          <w:lang w:val="fr-FR"/>
        </w:rPr>
        <w:t>administration financière des trois organismes offre aux titulaires de subvention et aux établissements administrateurs une ressource exhaustive pour les aider à bien comprendre les principes et les directives qui régissent l</w:t>
      </w:r>
      <w:r w:rsidR="00F03D95" w:rsidRPr="003D4DA4">
        <w:rPr>
          <w:lang w:val="fr-FR"/>
        </w:rPr>
        <w:t>’</w:t>
      </w:r>
      <w:r w:rsidRPr="003D4DA4">
        <w:rPr>
          <w:lang w:val="fr-FR"/>
        </w:rPr>
        <w:t>administration post-octroi des subventions financées par les Instituts de recherche en santé du Canada</w:t>
      </w:r>
      <w:r w:rsidR="00366BC2" w:rsidRPr="003D4DA4">
        <w:rPr>
          <w:lang w:val="fr-FR"/>
        </w:rPr>
        <w:t xml:space="preserve"> (IRSC)</w:t>
      </w:r>
      <w:r w:rsidRPr="003D4DA4">
        <w:rPr>
          <w:lang w:val="fr-FR"/>
        </w:rPr>
        <w:t>, le Conseil de recherches en sciences naturelles et en génie du Canada (CRSNG) et le Conseil de recherches en sciences humaines du Canada (CRSH).</w:t>
      </w:r>
    </w:p>
    <w:p w14:paraId="2A8E0FC0" w14:textId="7DBB9B86" w:rsidR="001B79D6" w:rsidRPr="003D4DA4" w:rsidRDefault="008C40FE" w:rsidP="00CC5686">
      <w:r w:rsidRPr="003D4DA4">
        <w:t>Il s</w:t>
      </w:r>
      <w:r w:rsidR="00F03D95" w:rsidRPr="003D4DA4">
        <w:t>’</w:t>
      </w:r>
      <w:r w:rsidRPr="003D4DA4">
        <w:t>agit d</w:t>
      </w:r>
      <w:r w:rsidR="00F03D95" w:rsidRPr="003D4DA4">
        <w:t>’</w:t>
      </w:r>
      <w:r w:rsidRPr="003D4DA4">
        <w:t>un Guide fondé sur des principes et comportant des directives limitées pour les dépenses liées aux fonds de subvention. Cela représente un changement important par rapport à l</w:t>
      </w:r>
      <w:r w:rsidR="00F03D95" w:rsidRPr="003D4DA4">
        <w:t>’</w:t>
      </w:r>
      <w:r w:rsidRPr="003D4DA4">
        <w:t xml:space="preserve">ancien Guide, qui était normatif et laissait peu de place aux </w:t>
      </w:r>
      <w:r w:rsidR="00366BC2" w:rsidRPr="003D4DA4">
        <w:t>mesures d’adaptation</w:t>
      </w:r>
      <w:r w:rsidRPr="003D4DA4">
        <w:t xml:space="preserve">. Les </w:t>
      </w:r>
      <w:r w:rsidRPr="003D4DA4">
        <w:rPr>
          <w:u w:val="single"/>
        </w:rPr>
        <w:t>établissements administrateurs</w:t>
      </w:r>
      <w:r w:rsidRPr="003D4DA4">
        <w:t>, par l</w:t>
      </w:r>
      <w:r w:rsidR="00F03D95" w:rsidRPr="003D4DA4">
        <w:t>’</w:t>
      </w:r>
      <w:r w:rsidRPr="003D4DA4">
        <w:t xml:space="preserve">élaboration et la mise en </w:t>
      </w:r>
      <w:r w:rsidR="00366BC2" w:rsidRPr="003D4DA4">
        <w:t>œuvre</w:t>
      </w:r>
      <w:r w:rsidRPr="003D4DA4">
        <w:t xml:space="preserve"> de politiques, de systèmes administratifs, de procédures et de contrôles efficaces, </w:t>
      </w:r>
      <w:r w:rsidRPr="003D4DA4">
        <w:rPr>
          <w:u w:val="single"/>
        </w:rPr>
        <w:t>sont désormais chargés de superviser l</w:t>
      </w:r>
      <w:r w:rsidR="00F03D95" w:rsidRPr="003D4DA4">
        <w:rPr>
          <w:u w:val="single"/>
        </w:rPr>
        <w:t>’</w:t>
      </w:r>
      <w:r w:rsidRPr="003D4DA4">
        <w:rPr>
          <w:u w:val="single"/>
        </w:rPr>
        <w:t xml:space="preserve">utilisation appropriée des fonds de subvention et de veiller au respect des politiques et des </w:t>
      </w:r>
      <w:r w:rsidR="00366BC2" w:rsidRPr="003D4DA4">
        <w:rPr>
          <w:u w:val="single"/>
        </w:rPr>
        <w:t>ententes pertinentes</w:t>
      </w:r>
      <w:r w:rsidRPr="003D4DA4">
        <w:rPr>
          <w:u w:val="single"/>
        </w:rPr>
        <w:t xml:space="preserve"> des trois organismes</w:t>
      </w:r>
      <w:r w:rsidRPr="003D4DA4">
        <w:t>. Pour ce faire, les établissements administrateurs doivent comprendre l</w:t>
      </w:r>
      <w:r w:rsidR="00F03D95" w:rsidRPr="003D4DA4">
        <w:t>’</w:t>
      </w:r>
      <w:r w:rsidRPr="003D4DA4">
        <w:t>importance d</w:t>
      </w:r>
      <w:r w:rsidR="00F03D95" w:rsidRPr="003D4DA4">
        <w:t>’</w:t>
      </w:r>
      <w:r w:rsidRPr="003D4DA4">
        <w:t xml:space="preserve">évaluer la pertinence des dépenses </w:t>
      </w:r>
      <w:r w:rsidR="00366BC2" w:rsidRPr="003D4DA4">
        <w:t xml:space="preserve">imputées </w:t>
      </w:r>
      <w:r w:rsidRPr="003D4DA4">
        <w:t xml:space="preserve">aux fonds de subvention en fonction des étapes suivantes, </w:t>
      </w:r>
      <w:r w:rsidR="007037AB">
        <w:t>dans l’</w:t>
      </w:r>
      <w:r w:rsidRPr="003D4DA4">
        <w:t xml:space="preserve">ordre </w:t>
      </w:r>
      <w:r w:rsidR="007037AB">
        <w:t>d’évaluation</w:t>
      </w:r>
      <w:r w:rsidR="007037AB" w:rsidRPr="003D4DA4">
        <w:t> </w:t>
      </w:r>
      <w:r w:rsidR="007037AB">
        <w:t xml:space="preserve">suivante </w:t>
      </w:r>
      <w:r w:rsidRPr="003D4DA4">
        <w:t>:</w:t>
      </w:r>
    </w:p>
    <w:p w14:paraId="7707D280" w14:textId="6B2D24F5" w:rsidR="00F12F23" w:rsidRPr="003D4DA4" w:rsidRDefault="005D046D" w:rsidP="00B47BFE">
      <w:pPr>
        <w:pStyle w:val="ListParagraph"/>
        <w:numPr>
          <w:ilvl w:val="0"/>
          <w:numId w:val="18"/>
        </w:numPr>
      </w:pPr>
      <w:r w:rsidRPr="003D4DA4">
        <w:t>Les</w:t>
      </w:r>
      <w:r w:rsidR="00F12F23" w:rsidRPr="003D4DA4">
        <w:t xml:space="preserve"> quatre principes;</w:t>
      </w:r>
    </w:p>
    <w:p w14:paraId="3979C281" w14:textId="620A993A" w:rsidR="00F12F23" w:rsidRPr="003D4DA4" w:rsidRDefault="005D046D" w:rsidP="00B47BFE">
      <w:pPr>
        <w:pStyle w:val="ListParagraph"/>
        <w:numPr>
          <w:ilvl w:val="0"/>
          <w:numId w:val="18"/>
        </w:numPr>
      </w:pPr>
      <w:r w:rsidRPr="003D4DA4">
        <w:t>Les</w:t>
      </w:r>
      <w:r w:rsidR="00F12F23" w:rsidRPr="003D4DA4">
        <w:t xml:space="preserve"> détails de la directive qui s</w:t>
      </w:r>
      <w:r w:rsidR="00F03D95" w:rsidRPr="003D4DA4">
        <w:t>’</w:t>
      </w:r>
      <w:r w:rsidR="00F12F23" w:rsidRPr="003D4DA4">
        <w:t>applique;</w:t>
      </w:r>
    </w:p>
    <w:p w14:paraId="5FED92EA" w14:textId="4B5071C6" w:rsidR="00F12F23" w:rsidRPr="003D4DA4" w:rsidRDefault="005D046D" w:rsidP="00B47BFE">
      <w:pPr>
        <w:pStyle w:val="ListParagraph"/>
        <w:numPr>
          <w:ilvl w:val="0"/>
          <w:numId w:val="18"/>
        </w:numPr>
      </w:pPr>
      <w:r w:rsidRPr="003D4DA4">
        <w:t>La</w:t>
      </w:r>
      <w:r w:rsidR="00F12F23" w:rsidRPr="003D4DA4">
        <w:t xml:space="preserve"> documentation relative au programme ou à la possibilité de financement;</w:t>
      </w:r>
    </w:p>
    <w:p w14:paraId="227341E9" w14:textId="56ED3338" w:rsidR="00CC5686" w:rsidRPr="003D4DA4" w:rsidRDefault="005D046D" w:rsidP="00B47BFE">
      <w:pPr>
        <w:pStyle w:val="ListParagraph"/>
        <w:numPr>
          <w:ilvl w:val="0"/>
          <w:numId w:val="18"/>
        </w:numPr>
      </w:pPr>
      <w:r w:rsidRPr="003D4DA4">
        <w:t>Les</w:t>
      </w:r>
      <w:r w:rsidR="00F12F23" w:rsidRPr="003D4DA4">
        <w:t xml:space="preserve"> politiques et les directives de l</w:t>
      </w:r>
      <w:r w:rsidR="00F03D95" w:rsidRPr="003D4DA4">
        <w:t>’</w:t>
      </w:r>
      <w:r w:rsidR="00F12F23" w:rsidRPr="003D4DA4">
        <w:t>établissement.</w:t>
      </w:r>
    </w:p>
    <w:p w14:paraId="5DA3D613" w14:textId="5F641709" w:rsidR="00F12F23" w:rsidRPr="003D4DA4" w:rsidRDefault="00B4358D" w:rsidP="00CC5686">
      <w:r w:rsidRPr="003D4DA4">
        <w:t xml:space="preserve">Vous trouverez de plus amples renseignements sur le </w:t>
      </w:r>
      <w:hyperlink r:id="rId13" w:history="1">
        <w:r w:rsidRPr="003D4DA4">
          <w:rPr>
            <w:rStyle w:val="Hyperlink"/>
          </w:rPr>
          <w:t>Guide</w:t>
        </w:r>
      </w:hyperlink>
      <w:r w:rsidRPr="003D4DA4">
        <w:t xml:space="preserve"> en ligne.</w:t>
      </w:r>
    </w:p>
    <w:p w14:paraId="3AB45B57" w14:textId="322C831B" w:rsidR="002247C5" w:rsidRPr="003D4DA4" w:rsidRDefault="00EC5578" w:rsidP="00CC5686">
      <w:r w:rsidRPr="003D4DA4">
        <w:t>Les formateurs doivent insister sur le fait que les établissements administrateurs détiennent le pouvoir décisionnel en ce qui concerne l</w:t>
      </w:r>
      <w:r w:rsidR="00F03D95" w:rsidRPr="003D4DA4">
        <w:t>’</w:t>
      </w:r>
      <w:r w:rsidRPr="003D4DA4">
        <w:t>utilisation des fonds de subvention, pour autant que les principes et directives du GAFTO soient respectés. Les décisions relatives à l</w:t>
      </w:r>
      <w:r w:rsidR="00F03D95" w:rsidRPr="003D4DA4">
        <w:t>’</w:t>
      </w:r>
      <w:r w:rsidRPr="003D4DA4">
        <w:t>administration financière doivent également être conformes à la documentation relative au programme ou à la possibilité de financement, ainsi qu</w:t>
      </w:r>
      <w:r w:rsidR="00F03D95" w:rsidRPr="003D4DA4">
        <w:t>’</w:t>
      </w:r>
      <w:r w:rsidRPr="003D4DA4">
        <w:t xml:space="preserve">à toute </w:t>
      </w:r>
      <w:r w:rsidR="00366BC2" w:rsidRPr="003D4DA4">
        <w:t>entente conclue avec l’organisme concerné</w:t>
      </w:r>
      <w:r w:rsidRPr="003D4DA4">
        <w:t>, y compris les modalités de la subvention et les politiques de l</w:t>
      </w:r>
      <w:r w:rsidR="00F03D95" w:rsidRPr="003D4DA4">
        <w:t>’</w:t>
      </w:r>
      <w:r w:rsidRPr="003D4DA4">
        <w:t>établissement administrateur</w:t>
      </w:r>
      <w:r w:rsidR="00EF1569" w:rsidRPr="003D4DA4">
        <w:t xml:space="preserve">. </w:t>
      </w:r>
      <w:r w:rsidRPr="003D4DA4">
        <w:t>L</w:t>
      </w:r>
      <w:r w:rsidR="00F03D95" w:rsidRPr="003D4DA4">
        <w:t>’</w:t>
      </w:r>
      <w:r w:rsidRPr="003D4DA4">
        <w:t>objectif de l</w:t>
      </w:r>
      <w:r w:rsidR="00F03D95" w:rsidRPr="003D4DA4">
        <w:t>’</w:t>
      </w:r>
      <w:r w:rsidRPr="003D4DA4">
        <w:t>initiative d</w:t>
      </w:r>
      <w:r w:rsidR="00694020" w:rsidRPr="003D4DA4">
        <w:t>e renouvellement de l</w:t>
      </w:r>
      <w:r w:rsidR="00F03D95" w:rsidRPr="003D4DA4">
        <w:t>’</w:t>
      </w:r>
      <w:r w:rsidRPr="003D4DA4">
        <w:t>administration financière des trois organismes est de simplifier le processus et de conférer aux établissements plus de pouvoir et de responsabilités. Le nouveau Guide exige d</w:t>
      </w:r>
      <w:r w:rsidR="00F03D95" w:rsidRPr="003D4DA4">
        <w:t>’</w:t>
      </w:r>
      <w:r w:rsidRPr="003D4DA4">
        <w:t>adopter une nouvelle façon de penser concernant les dépenses.</w:t>
      </w:r>
    </w:p>
    <w:p w14:paraId="3420FBF6" w14:textId="77777777" w:rsidR="00E12AC1" w:rsidRPr="003D4DA4" w:rsidRDefault="00E12AC1">
      <w:pPr>
        <w:rPr>
          <w:rFonts w:asciiTheme="majorHAnsi" w:eastAsiaTheme="majorEastAsia" w:hAnsiTheme="majorHAnsi" w:cstheme="majorBidi"/>
          <w:color w:val="2E74B5" w:themeColor="accent1" w:themeShade="BF"/>
          <w:sz w:val="26"/>
          <w:szCs w:val="26"/>
        </w:rPr>
      </w:pPr>
      <w:r w:rsidRPr="003D4DA4">
        <w:br w:type="page"/>
      </w:r>
    </w:p>
    <w:p w14:paraId="706EE0A9" w14:textId="39A84AD1" w:rsidR="00A642F7" w:rsidRPr="003D4DA4" w:rsidRDefault="00A642F7" w:rsidP="00A642F7">
      <w:pPr>
        <w:pStyle w:val="Heading2"/>
      </w:pPr>
      <w:bookmarkStart w:id="5" w:name="_Toc33171569"/>
      <w:r w:rsidRPr="003D4DA4">
        <w:lastRenderedPageBreak/>
        <w:t>Points d</w:t>
      </w:r>
      <w:r w:rsidR="00F03D95" w:rsidRPr="003D4DA4">
        <w:t>’</w:t>
      </w:r>
      <w:r w:rsidRPr="003D4DA4">
        <w:t>intérêt du cours sur le GAFTO</w:t>
      </w:r>
      <w:bookmarkEnd w:id="5"/>
    </w:p>
    <w:p w14:paraId="670CD193" w14:textId="45C30A5D" w:rsidR="006F4451" w:rsidRPr="003D4DA4" w:rsidRDefault="00E12AC1" w:rsidP="00E12AC1">
      <w:r w:rsidRPr="003D4DA4">
        <w:t>Dans le but d</w:t>
      </w:r>
      <w:r w:rsidR="00F03D95" w:rsidRPr="003D4DA4">
        <w:t>’</w:t>
      </w:r>
      <w:r w:rsidRPr="003D4DA4">
        <w:t xml:space="preserve">aider les établissements administrateurs à exercer leur autonomie dans le processus décisionnel qui concerne les dépenses </w:t>
      </w:r>
      <w:r w:rsidR="00694020" w:rsidRPr="003D4DA4">
        <w:t xml:space="preserve">imputées </w:t>
      </w:r>
      <w:r w:rsidRPr="003D4DA4">
        <w:t xml:space="preserve">aux fonds de subvention, le cours sur le GAFTO a été conçu pour </w:t>
      </w:r>
      <w:r w:rsidR="00694020" w:rsidRPr="003D4DA4">
        <w:t xml:space="preserve">leur permettre de mieux </w:t>
      </w:r>
      <w:r w:rsidRPr="003D4DA4">
        <w:t>répondre aux besoins des titulaires de leurs subventions en améliorant leur compréhension</w:t>
      </w:r>
      <w:r w:rsidR="00694020" w:rsidRPr="003D4DA4">
        <w:t xml:space="preserve"> du Guide</w:t>
      </w:r>
      <w:r w:rsidRPr="003D4DA4">
        <w:t xml:space="preserve"> et en soutenant l</w:t>
      </w:r>
      <w:r w:rsidR="00F03D95" w:rsidRPr="003D4DA4">
        <w:t>’</w:t>
      </w:r>
      <w:r w:rsidRPr="003D4DA4">
        <w:t>application des principes et des directives. Plus précisément, afin de comprendre leur situation unique et de justifier les dépenses, les titulaires de subvention doivent être conscients de l</w:t>
      </w:r>
      <w:r w:rsidR="00F03D95" w:rsidRPr="003D4DA4">
        <w:t>’</w:t>
      </w:r>
      <w:r w:rsidRPr="003D4DA4">
        <w:t>importance de respecter les principes et les directives du GAFTO, ainsi que la documentation relative au programme ou à la possibilité de financement et les politiques et directives de l</w:t>
      </w:r>
      <w:r w:rsidR="00694020" w:rsidRPr="003D4DA4">
        <w:t xml:space="preserve">eur </w:t>
      </w:r>
      <w:r w:rsidRPr="003D4DA4">
        <w:t>établissement</w:t>
      </w:r>
      <w:r w:rsidR="00EF1569" w:rsidRPr="003D4DA4">
        <w:t xml:space="preserve">. </w:t>
      </w:r>
      <w:r w:rsidRPr="003D4DA4">
        <w:t>Tout au long du cours, le formateur doit donc remettre en question les évaluations faites par les participants et les encourager à modifier les détails des scénarios discutés, s</w:t>
      </w:r>
      <w:r w:rsidR="00F03D95" w:rsidRPr="003D4DA4">
        <w:t>’</w:t>
      </w:r>
      <w:r w:rsidRPr="003D4DA4">
        <w:t>il y a lieu, afin d</w:t>
      </w:r>
      <w:r w:rsidR="00F03D95" w:rsidRPr="003D4DA4">
        <w:t>’</w:t>
      </w:r>
      <w:r w:rsidRPr="003D4DA4">
        <w:t>éclairer la détermination qu</w:t>
      </w:r>
      <w:r w:rsidR="00F03D95" w:rsidRPr="003D4DA4">
        <w:t>’</w:t>
      </w:r>
      <w:r w:rsidRPr="003D4DA4">
        <w:t xml:space="preserve">ils proposent. </w:t>
      </w:r>
    </w:p>
    <w:p w14:paraId="71D0F3A1" w14:textId="2B4EF9C7" w:rsidR="00A34EE1" w:rsidRPr="003D4DA4" w:rsidRDefault="004D5E55" w:rsidP="00E12AC1">
      <w:r w:rsidRPr="003D4DA4">
        <w:t>Le formateur doit encourager les participants à évaluer une situation en suivant les étapes ci-dessous dans l</w:t>
      </w:r>
      <w:r w:rsidR="00F03D95" w:rsidRPr="003D4DA4">
        <w:t>’</w:t>
      </w:r>
      <w:r w:rsidRPr="003D4DA4">
        <w:t>ordre :</w:t>
      </w:r>
    </w:p>
    <w:p w14:paraId="781F51A9" w14:textId="3B747A5D" w:rsidR="00A34EE1" w:rsidRPr="003D4DA4" w:rsidRDefault="005D046D" w:rsidP="00953A27">
      <w:pPr>
        <w:pStyle w:val="ListParagraph"/>
        <w:numPr>
          <w:ilvl w:val="0"/>
          <w:numId w:val="16"/>
        </w:numPr>
      </w:pPr>
      <w:r w:rsidRPr="003D4DA4">
        <w:t>Les</w:t>
      </w:r>
      <w:r w:rsidR="00212C96" w:rsidRPr="003D4DA4">
        <w:t xml:space="preserve"> principes du GAFTO;</w:t>
      </w:r>
    </w:p>
    <w:p w14:paraId="648CA911" w14:textId="57E76CE6" w:rsidR="00A34EE1" w:rsidRPr="003D4DA4" w:rsidRDefault="005D046D" w:rsidP="00953A27">
      <w:pPr>
        <w:pStyle w:val="ListParagraph"/>
        <w:numPr>
          <w:ilvl w:val="0"/>
          <w:numId w:val="16"/>
        </w:numPr>
      </w:pPr>
      <w:r w:rsidRPr="003D4DA4">
        <w:t>Les</w:t>
      </w:r>
      <w:r w:rsidR="00212C96" w:rsidRPr="003D4DA4">
        <w:t xml:space="preserve"> directives du GAFTO;</w:t>
      </w:r>
    </w:p>
    <w:p w14:paraId="033EE7F1" w14:textId="6B239B76" w:rsidR="00A34EE1" w:rsidRPr="003D4DA4" w:rsidRDefault="005D046D" w:rsidP="00953A27">
      <w:pPr>
        <w:pStyle w:val="ListParagraph"/>
        <w:numPr>
          <w:ilvl w:val="0"/>
          <w:numId w:val="16"/>
        </w:numPr>
      </w:pPr>
      <w:r w:rsidRPr="003D4DA4">
        <w:t>La</w:t>
      </w:r>
      <w:r w:rsidR="00212C96" w:rsidRPr="003D4DA4">
        <w:t xml:space="preserve"> documentation relative au programme ou à la possibilité de financement;</w:t>
      </w:r>
    </w:p>
    <w:p w14:paraId="1F54B835" w14:textId="3EEFA662" w:rsidR="00A34EE1" w:rsidRPr="003D4DA4" w:rsidRDefault="005D046D" w:rsidP="00953A27">
      <w:pPr>
        <w:pStyle w:val="ListParagraph"/>
        <w:numPr>
          <w:ilvl w:val="0"/>
          <w:numId w:val="16"/>
        </w:numPr>
      </w:pPr>
      <w:r w:rsidRPr="003D4DA4">
        <w:t>Les</w:t>
      </w:r>
      <w:r w:rsidR="00212C96" w:rsidRPr="003D4DA4">
        <w:t xml:space="preserve"> politiques de l</w:t>
      </w:r>
      <w:r w:rsidR="00F03D95" w:rsidRPr="003D4DA4">
        <w:t>’</w:t>
      </w:r>
      <w:r w:rsidR="00212C96" w:rsidRPr="003D4DA4">
        <w:t>établissement administrateur.</w:t>
      </w:r>
    </w:p>
    <w:p w14:paraId="102B90D1" w14:textId="0C0EE84E" w:rsidR="006567F2" w:rsidRPr="003D4DA4" w:rsidRDefault="007037AB" w:rsidP="006567F2">
      <w:r>
        <w:t xml:space="preserve">Le Guide stipule clairement que la documentation relative au programme ou à la possibilité de financement prend préséance sur le GAFTO. </w:t>
      </w:r>
      <w:r w:rsidR="00C1713E" w:rsidRPr="003D4DA4">
        <w:t>C</w:t>
      </w:r>
      <w:r w:rsidR="004D5E55" w:rsidRPr="003D4DA4">
        <w:t xml:space="preserve">ette approche permet aux participants de faire preuve </w:t>
      </w:r>
      <w:r w:rsidR="00C1713E" w:rsidRPr="003D4DA4">
        <w:t xml:space="preserve">de </w:t>
      </w:r>
      <w:r w:rsidR="004D5E55" w:rsidRPr="003D4DA4">
        <w:t>jugement et de diligence raisonnable dans leur processus décisionnel en ce qui concerne l</w:t>
      </w:r>
      <w:r w:rsidR="00F03D95" w:rsidRPr="003D4DA4">
        <w:t>’</w:t>
      </w:r>
      <w:r w:rsidR="004D5E55" w:rsidRPr="003D4DA4">
        <w:t>utilisation des fonds de subvention de</w:t>
      </w:r>
      <w:r w:rsidR="00C1713E" w:rsidRPr="003D4DA4">
        <w:t>s</w:t>
      </w:r>
      <w:r w:rsidR="004D5E55" w:rsidRPr="003D4DA4">
        <w:t xml:space="preserve"> organisme</w:t>
      </w:r>
      <w:r w:rsidR="00C1713E" w:rsidRPr="003D4DA4">
        <w:t>s</w:t>
      </w:r>
      <w:r w:rsidR="004D5E55" w:rsidRPr="003D4DA4">
        <w:t>.</w:t>
      </w:r>
    </w:p>
    <w:p w14:paraId="725F57F2" w14:textId="458D170A" w:rsidR="00A34EE1" w:rsidRPr="003D4DA4" w:rsidRDefault="00214ADA" w:rsidP="000D1CD3">
      <w:pPr>
        <w:pStyle w:val="Heading2"/>
      </w:pPr>
      <w:bookmarkStart w:id="6" w:name="_Toc33171570"/>
      <w:r>
        <w:t>P</w:t>
      </w:r>
      <w:r w:rsidR="000D1CD3" w:rsidRPr="003D4DA4">
        <w:t>ersonnaliser le contenu du cours</w:t>
      </w:r>
      <w:bookmarkEnd w:id="6"/>
    </w:p>
    <w:p w14:paraId="4EBDDDB1" w14:textId="1C31091F" w:rsidR="00E539B7" w:rsidRPr="003D4DA4" w:rsidRDefault="001E54EE" w:rsidP="00A34EE1">
      <w:r w:rsidRPr="003D4DA4">
        <w:t>Le cours sur le GAFTO comprend des options personnalis</w:t>
      </w:r>
      <w:r w:rsidR="00710469" w:rsidRPr="003D4DA4">
        <w:t>ables</w:t>
      </w:r>
      <w:r w:rsidRPr="003D4DA4">
        <w:t xml:space="preserve"> qui permettent aux formateurs d</w:t>
      </w:r>
      <w:r w:rsidR="00F03D95" w:rsidRPr="003D4DA4">
        <w:t>’</w:t>
      </w:r>
      <w:r w:rsidRPr="003D4DA4">
        <w:t>adapter le contenu et l</w:t>
      </w:r>
      <w:r w:rsidR="00F03D95" w:rsidRPr="003D4DA4">
        <w:t>’</w:t>
      </w:r>
      <w:r w:rsidRPr="003D4DA4">
        <w:t xml:space="preserve">approche du cours en fonction des besoins des participants. </w:t>
      </w:r>
    </w:p>
    <w:p w14:paraId="64EEB607" w14:textId="3B1A7B79" w:rsidR="000D1CD3" w:rsidRPr="00026397" w:rsidRDefault="00CA7AB2" w:rsidP="00A34EE1">
      <w:r w:rsidRPr="003D4DA4">
        <w:t>Les parties 1, 2 et 3 du cours, telles qu</w:t>
      </w:r>
      <w:r w:rsidR="00F03D95" w:rsidRPr="003D4DA4">
        <w:t>’</w:t>
      </w:r>
      <w:r w:rsidRPr="003D4DA4">
        <w:t xml:space="preserve">elles sont </w:t>
      </w:r>
      <w:r w:rsidR="00710469" w:rsidRPr="003D4DA4">
        <w:t xml:space="preserve">présentées </w:t>
      </w:r>
      <w:r w:rsidRPr="003D4DA4">
        <w:t xml:space="preserve">dans </w:t>
      </w:r>
      <w:r w:rsidR="00710469" w:rsidRPr="003D4DA4">
        <w:t>le fichier</w:t>
      </w:r>
      <w:r w:rsidRPr="003D4DA4">
        <w:t xml:space="preserve"> PowerPoint, doivent être </w:t>
      </w:r>
      <w:r w:rsidR="00710469" w:rsidRPr="003D4DA4">
        <w:t>données telles quelles,</w:t>
      </w:r>
      <w:r w:rsidRPr="003D4DA4">
        <w:t xml:space="preserve"> </w:t>
      </w:r>
      <w:r w:rsidR="00303431" w:rsidRPr="003D4DA4">
        <w:t>accompagnées des</w:t>
      </w:r>
      <w:r w:rsidRPr="003D4DA4">
        <w:t xml:space="preserve"> activités « Faites travailler vos méninges » de la partie 5. Ce matériel fournira aux participants les renseignements nécessaires pour qu</w:t>
      </w:r>
      <w:r w:rsidR="00F03D95" w:rsidRPr="003D4DA4">
        <w:t>’</w:t>
      </w:r>
      <w:r w:rsidRPr="003D4DA4">
        <w:t xml:space="preserve">ils comprennent comment appliquer les principes et les directives du Guide. </w:t>
      </w:r>
    </w:p>
    <w:p w14:paraId="34CA0582" w14:textId="01FFA841" w:rsidR="000D1CD3" w:rsidRPr="003D4DA4" w:rsidRDefault="001169BF" w:rsidP="00A34EE1">
      <w:r w:rsidRPr="003D4DA4">
        <w:t>La partie 4 de la présentation PowerPoint permet aux établissements administrateurs d</w:t>
      </w:r>
      <w:r w:rsidR="00F03D95" w:rsidRPr="003D4DA4">
        <w:t>’</w:t>
      </w:r>
      <w:r w:rsidRPr="003D4DA4">
        <w:t>intégrer et de présenter du contenu qui leur est propre (p. ex. politiques financières, procédures et formulaires). Les formateurs sont encouragés à tenir compte du contenu propre à l</w:t>
      </w:r>
      <w:r w:rsidR="00F03D95" w:rsidRPr="003D4DA4">
        <w:t>’</w:t>
      </w:r>
      <w:r w:rsidRPr="003D4DA4">
        <w:t xml:space="preserve">établissement </w:t>
      </w:r>
      <w:r w:rsidR="004F2EB1" w:rsidRPr="003D4DA4">
        <w:t>lors</w:t>
      </w:r>
      <w:r w:rsidRPr="003D4DA4">
        <w:t xml:space="preserve"> des activités « Faites travailler vos méninges » de la partie 5 du cours. </w:t>
      </w:r>
    </w:p>
    <w:p w14:paraId="45421355" w14:textId="77777777" w:rsidR="00A34EE1" w:rsidRPr="003D4DA4" w:rsidRDefault="00A34EE1" w:rsidP="00E12AC1"/>
    <w:p w14:paraId="12EC8C2F" w14:textId="77777777" w:rsidR="00040E65" w:rsidRPr="003D4DA4" w:rsidRDefault="00040E65" w:rsidP="00040E65"/>
    <w:p w14:paraId="17CA948F" w14:textId="78BAFE67" w:rsidR="007A782E" w:rsidRPr="003D4DA4" w:rsidRDefault="00040E65" w:rsidP="00851725">
      <w:pPr>
        <w:pStyle w:val="Heading1"/>
      </w:pPr>
      <w:r w:rsidRPr="003D4DA4">
        <w:br w:type="page"/>
      </w:r>
      <w:bookmarkStart w:id="7" w:name="_Toc33171571"/>
      <w:r w:rsidRPr="003D4DA4">
        <w:lastRenderedPageBreak/>
        <w:t>Directives préalables à la formation</w:t>
      </w:r>
      <w:bookmarkEnd w:id="7"/>
    </w:p>
    <w:p w14:paraId="51B1EF3D" w14:textId="5AABF3D3" w:rsidR="00E11000" w:rsidRPr="003D4DA4" w:rsidRDefault="00E11000">
      <w:r w:rsidRPr="003D4DA4">
        <w:t>Afin de garantir l</w:t>
      </w:r>
      <w:r w:rsidR="00F03D95" w:rsidRPr="003D4DA4">
        <w:t>’</w:t>
      </w:r>
      <w:r w:rsidRPr="003D4DA4">
        <w:t>efficacité de la prestation du cours et d</w:t>
      </w:r>
      <w:r w:rsidR="00F03D95" w:rsidRPr="003D4DA4">
        <w:t>’</w:t>
      </w:r>
      <w:r w:rsidRPr="003D4DA4">
        <w:t>atteindre les résultats escomptés, le formateur est fortement encouragé à s</w:t>
      </w:r>
      <w:r w:rsidR="00F03D95" w:rsidRPr="003D4DA4">
        <w:t>’</w:t>
      </w:r>
      <w:r w:rsidRPr="003D4DA4">
        <w:t xml:space="preserve">acquitter des tâches suivantes dans la semaine précédant la séance de formation. </w:t>
      </w:r>
    </w:p>
    <w:p w14:paraId="6BDB7999" w14:textId="04801673" w:rsidR="00F75DD4" w:rsidRPr="003D4DA4" w:rsidRDefault="00F75DD4" w:rsidP="00F75DD4">
      <w:pPr>
        <w:pStyle w:val="ListParagraph"/>
        <w:numPr>
          <w:ilvl w:val="0"/>
          <w:numId w:val="19"/>
        </w:numPr>
      </w:pPr>
      <w:r w:rsidRPr="003D4DA4">
        <w:rPr>
          <w:b/>
        </w:rPr>
        <w:t xml:space="preserve">Lisez le </w:t>
      </w:r>
      <w:hyperlink r:id="rId14" w:history="1">
        <w:r w:rsidRPr="003D4DA4">
          <w:rPr>
            <w:rStyle w:val="Hyperlink"/>
            <w:b/>
          </w:rPr>
          <w:t>GAFTO</w:t>
        </w:r>
      </w:hyperlink>
      <w:r w:rsidRPr="003D4DA4">
        <w:rPr>
          <w:b/>
        </w:rPr>
        <w:t>.</w:t>
      </w:r>
      <w:r w:rsidRPr="003D4DA4">
        <w:t xml:space="preserve"> Bien que le cours soit axé sur l</w:t>
      </w:r>
      <w:r w:rsidR="00F03D95" w:rsidRPr="003D4DA4">
        <w:t>’</w:t>
      </w:r>
      <w:r w:rsidRPr="003D4DA4">
        <w:t>utilisation des fonds de subvention décrite dans le Guide, le formateur doit absolument connaître le contenu de celui-ci.</w:t>
      </w:r>
    </w:p>
    <w:p w14:paraId="5DD4CFD3" w14:textId="47E66A2E" w:rsidR="00F75DD4" w:rsidRPr="003D4DA4" w:rsidRDefault="00F75DD4" w:rsidP="00F75DD4">
      <w:pPr>
        <w:pStyle w:val="ListParagraph"/>
        <w:numPr>
          <w:ilvl w:val="0"/>
          <w:numId w:val="20"/>
        </w:numPr>
      </w:pPr>
      <w:r w:rsidRPr="003D4DA4">
        <w:rPr>
          <w:b/>
        </w:rPr>
        <w:t>Lisez et assimilez tous les éléments de la trousse de formation des formateurs.</w:t>
      </w:r>
      <w:r w:rsidRPr="003D4DA4">
        <w:t xml:space="preserve"> Familiarisez</w:t>
      </w:r>
      <w:r w:rsidR="00D72D74" w:rsidRPr="003D4DA4">
        <w:noBreakHyphen/>
      </w:r>
      <w:r w:rsidRPr="003D4DA4">
        <w:t>vous avec le contenu, l</w:t>
      </w:r>
      <w:r w:rsidR="00F03D95" w:rsidRPr="003D4DA4">
        <w:t>’</w:t>
      </w:r>
      <w:r w:rsidRPr="003D4DA4">
        <w:t>approche et le déroulement proposé :</w:t>
      </w:r>
    </w:p>
    <w:p w14:paraId="4835CB8F" w14:textId="34BF8816" w:rsidR="00F75DD4" w:rsidRPr="003D4DA4" w:rsidRDefault="005D046D" w:rsidP="00F75DD4">
      <w:pPr>
        <w:pStyle w:val="ListParagraph"/>
        <w:numPr>
          <w:ilvl w:val="1"/>
          <w:numId w:val="20"/>
        </w:numPr>
      </w:pPr>
      <w:r w:rsidRPr="003D4DA4">
        <w:t>Présentation</w:t>
      </w:r>
      <w:r w:rsidR="00F75DD4" w:rsidRPr="003D4DA4">
        <w:t xml:space="preserve"> PowerPoint du cours sur le GAFTO (y compris les notes du présentateur);</w:t>
      </w:r>
    </w:p>
    <w:p w14:paraId="52CF1B18" w14:textId="25C0F7A0" w:rsidR="00F75DD4" w:rsidRPr="003D4DA4" w:rsidRDefault="005D046D" w:rsidP="00F75DD4">
      <w:pPr>
        <w:pStyle w:val="ListParagraph"/>
        <w:numPr>
          <w:ilvl w:val="1"/>
          <w:numId w:val="20"/>
        </w:numPr>
      </w:pPr>
      <w:r w:rsidRPr="003D4DA4">
        <w:t>Guide</w:t>
      </w:r>
      <w:r w:rsidR="00F75DD4" w:rsidRPr="003D4DA4">
        <w:t xml:space="preserve"> de prestation;</w:t>
      </w:r>
    </w:p>
    <w:p w14:paraId="2527E659" w14:textId="5250C321" w:rsidR="00F75DD4" w:rsidRPr="003D4DA4" w:rsidRDefault="005D046D" w:rsidP="00F75DD4">
      <w:pPr>
        <w:pStyle w:val="ListParagraph"/>
        <w:numPr>
          <w:ilvl w:val="1"/>
          <w:numId w:val="20"/>
        </w:numPr>
      </w:pPr>
      <w:r w:rsidRPr="003D4DA4">
        <w:t>Livret</w:t>
      </w:r>
      <w:r w:rsidR="00F75DD4" w:rsidRPr="003D4DA4">
        <w:t xml:space="preserve"> d</w:t>
      </w:r>
      <w:r w:rsidR="00F03D95" w:rsidRPr="003D4DA4">
        <w:t>’</w:t>
      </w:r>
      <w:r w:rsidR="00F75DD4" w:rsidRPr="003D4DA4">
        <w:t xml:space="preserve">activités. </w:t>
      </w:r>
    </w:p>
    <w:p w14:paraId="72A2E573" w14:textId="6D8432C3" w:rsidR="00F75DD4" w:rsidRPr="003D4DA4" w:rsidRDefault="00F75DD4" w:rsidP="00F75DD4">
      <w:pPr>
        <w:pStyle w:val="ListParagraph"/>
        <w:numPr>
          <w:ilvl w:val="0"/>
          <w:numId w:val="19"/>
        </w:numPr>
      </w:pPr>
      <w:r w:rsidRPr="003D4DA4">
        <w:rPr>
          <w:b/>
        </w:rPr>
        <w:t>Renseignez-vous sur les participants.</w:t>
      </w:r>
      <w:r w:rsidRPr="003D4DA4">
        <w:t xml:space="preserve"> Sachez qui sont vos participants pour prévoir la meilleure façon de structurer chaque activité (p. ex. des activités en petits groupes ou en grands groupes). </w:t>
      </w:r>
    </w:p>
    <w:p w14:paraId="0FB30F68" w14:textId="44AF5E00" w:rsidR="00F75DD4" w:rsidRPr="003D4DA4" w:rsidRDefault="00D14F15" w:rsidP="00F75DD4">
      <w:pPr>
        <w:pStyle w:val="ListParagraph"/>
        <w:numPr>
          <w:ilvl w:val="0"/>
          <w:numId w:val="19"/>
        </w:numPr>
      </w:pPr>
      <w:r w:rsidRPr="003D4DA4">
        <w:rPr>
          <w:b/>
        </w:rPr>
        <w:t>Choisissez vos activités et scénarios.</w:t>
      </w:r>
      <w:r w:rsidRPr="003D4DA4">
        <w:t xml:space="preserve"> Sélectionnez les activités et les scénarios pertinents pour la partie « Faites travailler vos méninges » (partie 5) du cours.</w:t>
      </w:r>
    </w:p>
    <w:p w14:paraId="6FB05851" w14:textId="2BEC2625" w:rsidR="0001310E" w:rsidRPr="003D4DA4" w:rsidRDefault="00D14F15" w:rsidP="0001310E">
      <w:pPr>
        <w:pStyle w:val="ListParagraph"/>
        <w:numPr>
          <w:ilvl w:val="0"/>
          <w:numId w:val="19"/>
        </w:numPr>
        <w:rPr>
          <w:b/>
        </w:rPr>
      </w:pPr>
      <w:r w:rsidRPr="003D4DA4">
        <w:rPr>
          <w:b/>
        </w:rPr>
        <w:t xml:space="preserve">Rassemblez le matériel de classe nécessaire. </w:t>
      </w:r>
      <w:r w:rsidRPr="003D4DA4">
        <w:t>Vous aurez besoin des articles suivants pour réaliser les activités du cours :</w:t>
      </w:r>
    </w:p>
    <w:p w14:paraId="06DAFBD3" w14:textId="73E8F1AA" w:rsidR="0062307A" w:rsidRPr="003D4DA4" w:rsidRDefault="005D046D" w:rsidP="00935F92">
      <w:pPr>
        <w:pStyle w:val="ListParagraph"/>
        <w:numPr>
          <w:ilvl w:val="1"/>
          <w:numId w:val="19"/>
        </w:numPr>
      </w:pPr>
      <w:r w:rsidRPr="003D4DA4">
        <w:t>Ordinateur</w:t>
      </w:r>
      <w:r w:rsidR="0062307A" w:rsidRPr="003D4DA4">
        <w:t>;</w:t>
      </w:r>
    </w:p>
    <w:p w14:paraId="649708FD" w14:textId="3FB1A256" w:rsidR="007A2429" w:rsidRPr="003D4DA4" w:rsidRDefault="005D046D" w:rsidP="00935F92">
      <w:pPr>
        <w:pStyle w:val="ListParagraph"/>
        <w:numPr>
          <w:ilvl w:val="1"/>
          <w:numId w:val="19"/>
        </w:numPr>
      </w:pPr>
      <w:r w:rsidRPr="003D4DA4">
        <w:t>Projecteur</w:t>
      </w:r>
      <w:r w:rsidR="0062307A" w:rsidRPr="003D4DA4">
        <w:t>;</w:t>
      </w:r>
    </w:p>
    <w:p w14:paraId="76473AB1" w14:textId="07F773CB" w:rsidR="007A2429" w:rsidRPr="003D4DA4" w:rsidRDefault="005D046D" w:rsidP="00935F92">
      <w:pPr>
        <w:pStyle w:val="ListParagraph"/>
        <w:numPr>
          <w:ilvl w:val="1"/>
          <w:numId w:val="19"/>
        </w:numPr>
      </w:pPr>
      <w:r w:rsidRPr="003D4DA4">
        <w:t>Grand</w:t>
      </w:r>
      <w:r w:rsidR="007A2429" w:rsidRPr="003D4DA4">
        <w:t xml:space="preserve"> mur ou tableau blanc;</w:t>
      </w:r>
    </w:p>
    <w:p w14:paraId="356895DA" w14:textId="7C01DD59" w:rsidR="0001310E" w:rsidRPr="003D4DA4" w:rsidRDefault="0001310E" w:rsidP="00935F92">
      <w:pPr>
        <w:pStyle w:val="ListParagraph"/>
        <w:numPr>
          <w:ilvl w:val="1"/>
          <w:numId w:val="19"/>
        </w:numPr>
      </w:pPr>
      <w:r w:rsidRPr="003D4DA4">
        <w:t xml:space="preserve">blocs de </w:t>
      </w:r>
      <w:r w:rsidR="00D72D74" w:rsidRPr="003D4DA4">
        <w:t xml:space="preserve">papillons </w:t>
      </w:r>
      <w:r w:rsidRPr="003D4DA4">
        <w:t>adhési</w:t>
      </w:r>
      <w:r w:rsidR="00D72D74" w:rsidRPr="003D4DA4">
        <w:t>f</w:t>
      </w:r>
      <w:r w:rsidRPr="003D4DA4">
        <w:t>s;</w:t>
      </w:r>
    </w:p>
    <w:p w14:paraId="0849A537" w14:textId="11AD3753" w:rsidR="0001310E" w:rsidRPr="003D4DA4" w:rsidRDefault="005D046D" w:rsidP="00935F92">
      <w:pPr>
        <w:pStyle w:val="ListParagraph"/>
        <w:numPr>
          <w:ilvl w:val="1"/>
          <w:numId w:val="19"/>
        </w:numPr>
      </w:pPr>
      <w:r w:rsidRPr="003D4DA4">
        <w:t>Stylos</w:t>
      </w:r>
      <w:r w:rsidR="0001310E" w:rsidRPr="003D4DA4">
        <w:t xml:space="preserve"> et marqueurs (suggestion : 1 par participant);</w:t>
      </w:r>
    </w:p>
    <w:p w14:paraId="0C53DA5E" w14:textId="0FBBA9D9" w:rsidR="0001310E" w:rsidRPr="003D4DA4" w:rsidRDefault="005D046D" w:rsidP="00935F92">
      <w:pPr>
        <w:pStyle w:val="ListParagraph"/>
        <w:numPr>
          <w:ilvl w:val="1"/>
          <w:numId w:val="19"/>
        </w:numPr>
      </w:pPr>
      <w:r w:rsidRPr="003D4DA4">
        <w:t>Blocs</w:t>
      </w:r>
      <w:r w:rsidR="0001310E" w:rsidRPr="003D4DA4">
        <w:t>-notes (suggestion : 1 pour 3 ou 4 participants);</w:t>
      </w:r>
    </w:p>
    <w:p w14:paraId="07ED0226" w14:textId="6E95890E" w:rsidR="0001310E" w:rsidRPr="003D4DA4" w:rsidRDefault="0001310E" w:rsidP="00935F92">
      <w:pPr>
        <w:pStyle w:val="ListParagraph"/>
        <w:numPr>
          <w:ilvl w:val="1"/>
          <w:numId w:val="19"/>
        </w:numPr>
      </w:pPr>
      <w:r w:rsidRPr="003D4DA4">
        <w:t xml:space="preserve">tableaux </w:t>
      </w:r>
      <w:r w:rsidR="00D25D4A" w:rsidRPr="003D4DA4">
        <w:t>de papier</w:t>
      </w:r>
      <w:r w:rsidRPr="003D4DA4">
        <w:t xml:space="preserve"> (si disponibles);</w:t>
      </w:r>
    </w:p>
    <w:p w14:paraId="21439FAB" w14:textId="6702470B" w:rsidR="0062307A" w:rsidRPr="003D4DA4" w:rsidRDefault="005D046D" w:rsidP="00935F92">
      <w:pPr>
        <w:pStyle w:val="ListParagraph"/>
        <w:numPr>
          <w:ilvl w:val="1"/>
          <w:numId w:val="19"/>
        </w:numPr>
      </w:pPr>
      <w:r w:rsidRPr="003D4DA4">
        <w:t>Ruban</w:t>
      </w:r>
      <w:r w:rsidR="0001310E" w:rsidRPr="003D4DA4">
        <w:t xml:space="preserve"> masque.</w:t>
      </w:r>
    </w:p>
    <w:p w14:paraId="220113EA" w14:textId="79B7C350" w:rsidR="0001310E" w:rsidRPr="003D4DA4" w:rsidRDefault="0001310E" w:rsidP="0001310E">
      <w:pPr>
        <w:pStyle w:val="ListParagraph"/>
        <w:numPr>
          <w:ilvl w:val="0"/>
          <w:numId w:val="19"/>
        </w:numPr>
      </w:pPr>
      <w:r w:rsidRPr="003D4DA4">
        <w:rPr>
          <w:b/>
        </w:rPr>
        <w:t xml:space="preserve">Imprimez </w:t>
      </w:r>
      <w:r w:rsidR="00D25D4A" w:rsidRPr="003D4DA4">
        <w:rPr>
          <w:b/>
        </w:rPr>
        <w:t>les documents de classe</w:t>
      </w:r>
      <w:r w:rsidRPr="003D4DA4">
        <w:rPr>
          <w:b/>
        </w:rPr>
        <w:t>.</w:t>
      </w:r>
      <w:r w:rsidRPr="003D4DA4">
        <w:t xml:space="preserve"> Préparez les documents imprimés pour les participants : </w:t>
      </w:r>
    </w:p>
    <w:p w14:paraId="0EA87C92" w14:textId="7409368A" w:rsidR="004030A5" w:rsidRPr="003D4DA4" w:rsidRDefault="005D046D" w:rsidP="0001310E">
      <w:pPr>
        <w:pStyle w:val="ListParagraph"/>
        <w:numPr>
          <w:ilvl w:val="1"/>
          <w:numId w:val="19"/>
        </w:numPr>
      </w:pPr>
      <w:r w:rsidRPr="003D4DA4">
        <w:t>Le</w:t>
      </w:r>
      <w:r w:rsidR="0001310E" w:rsidRPr="003D4DA4">
        <w:t xml:space="preserve"> GAFTO (suggestion : 1 pour 3 ou 4 participants);</w:t>
      </w:r>
    </w:p>
    <w:p w14:paraId="1E65AB56" w14:textId="2202DFAE" w:rsidR="0001310E" w:rsidRPr="003D4DA4" w:rsidRDefault="005D046D" w:rsidP="0001310E">
      <w:pPr>
        <w:pStyle w:val="ListParagraph"/>
        <w:numPr>
          <w:ilvl w:val="1"/>
          <w:numId w:val="19"/>
        </w:numPr>
      </w:pPr>
      <w:r w:rsidRPr="003D4DA4">
        <w:t>La</w:t>
      </w:r>
      <w:r w:rsidR="0001310E" w:rsidRPr="003D4DA4">
        <w:t xml:space="preserve"> présentation PowerPoint du cours sur le GAFTO (suggestion : 1 par participant);</w:t>
      </w:r>
    </w:p>
    <w:p w14:paraId="3D6AC5FA" w14:textId="79DC1F7C" w:rsidR="0001310E" w:rsidRPr="003D4DA4" w:rsidRDefault="005D046D" w:rsidP="0001310E">
      <w:pPr>
        <w:pStyle w:val="ListParagraph"/>
        <w:numPr>
          <w:ilvl w:val="1"/>
          <w:numId w:val="19"/>
        </w:numPr>
      </w:pPr>
      <w:r w:rsidRPr="003D4DA4">
        <w:t>Les</w:t>
      </w:r>
      <w:r w:rsidR="0001310E" w:rsidRPr="003D4DA4">
        <w:t xml:space="preserve"> quatre principes (suggestion : 1 par participant);</w:t>
      </w:r>
    </w:p>
    <w:p w14:paraId="40568A7A" w14:textId="55BFA6DF" w:rsidR="0001310E" w:rsidRPr="003D4DA4" w:rsidRDefault="005D046D" w:rsidP="00935F92">
      <w:pPr>
        <w:pStyle w:val="ListParagraph"/>
        <w:numPr>
          <w:ilvl w:val="1"/>
          <w:numId w:val="19"/>
        </w:numPr>
      </w:pPr>
      <w:r w:rsidRPr="003D4DA4">
        <w:t>Les</w:t>
      </w:r>
      <w:r w:rsidR="0001310E" w:rsidRPr="003D4DA4">
        <w:t xml:space="preserve"> scénarios choisis (utilisation inappropriée des fonds de subvention) pour l</w:t>
      </w:r>
      <w:r w:rsidR="00F03D95" w:rsidRPr="003D4DA4">
        <w:t>’</w:t>
      </w:r>
      <w:r w:rsidR="0001310E" w:rsidRPr="003D4DA4">
        <w:t>activité 2 – partie 1, un par feuille.</w:t>
      </w:r>
    </w:p>
    <w:p w14:paraId="5AF6C34A" w14:textId="4F1278D7" w:rsidR="00A77D8C" w:rsidRPr="003D4DA4" w:rsidRDefault="00D14F15" w:rsidP="00A77D8C">
      <w:pPr>
        <w:pStyle w:val="ListParagraph"/>
        <w:numPr>
          <w:ilvl w:val="0"/>
          <w:numId w:val="19"/>
        </w:numPr>
      </w:pPr>
      <w:r w:rsidRPr="003D4DA4">
        <w:rPr>
          <w:b/>
        </w:rPr>
        <w:t>Mettez les participants à contribution.</w:t>
      </w:r>
      <w:r w:rsidRPr="003D4DA4">
        <w:t xml:space="preserve"> Pour faciliter la réalisation et la personnalisation de l</w:t>
      </w:r>
      <w:r w:rsidR="00F03D95" w:rsidRPr="003D4DA4">
        <w:t>’</w:t>
      </w:r>
      <w:r w:rsidRPr="003D4DA4">
        <w:t>activité 1, demandez aux participants d</w:t>
      </w:r>
      <w:r w:rsidR="00F03D95" w:rsidRPr="003D4DA4">
        <w:t>’</w:t>
      </w:r>
      <w:r w:rsidRPr="003D4DA4">
        <w:t xml:space="preserve">envoyer deux scénarios qui illustrent une utilisation </w:t>
      </w:r>
      <w:r w:rsidRPr="003D4DA4">
        <w:rPr>
          <w:u w:val="single"/>
        </w:rPr>
        <w:t>appropriée</w:t>
      </w:r>
      <w:r w:rsidRPr="003D4DA4">
        <w:t xml:space="preserve"> des fonds de subvention et deux scénarios qui en démontrent une utilisation </w:t>
      </w:r>
      <w:r w:rsidRPr="003D4DA4">
        <w:rPr>
          <w:u w:val="single"/>
        </w:rPr>
        <w:t>inappropriée</w:t>
      </w:r>
      <w:r w:rsidRPr="003D4DA4">
        <w:t>. Ainsi, le formateur et les participants auront l</w:t>
      </w:r>
      <w:r w:rsidR="00F03D95" w:rsidRPr="003D4DA4">
        <w:t>’</w:t>
      </w:r>
      <w:r w:rsidRPr="003D4DA4">
        <w:t>occasion de réfléchir à leurs scénarios et de se préparer en vue de la séance à venir.</w:t>
      </w:r>
    </w:p>
    <w:p w14:paraId="5D0C9FAA" w14:textId="51775DC3" w:rsidR="00E11000" w:rsidRPr="003D4DA4" w:rsidRDefault="00E11000"/>
    <w:p w14:paraId="485630F9" w14:textId="77777777" w:rsidR="00040E65" w:rsidRPr="003D4DA4" w:rsidRDefault="00040E65">
      <w:pPr>
        <w:rPr>
          <w:rFonts w:asciiTheme="majorHAnsi" w:eastAsiaTheme="majorEastAsia" w:hAnsiTheme="majorHAnsi" w:cstheme="majorBidi"/>
          <w:color w:val="2E74B5" w:themeColor="accent1" w:themeShade="BF"/>
          <w:sz w:val="32"/>
          <w:szCs w:val="32"/>
        </w:rPr>
      </w:pPr>
      <w:r w:rsidRPr="003D4DA4">
        <w:br w:type="page"/>
      </w:r>
    </w:p>
    <w:p w14:paraId="2A13D985" w14:textId="2394AA55" w:rsidR="00312302" w:rsidRPr="003D4DA4" w:rsidRDefault="007A782E" w:rsidP="00935F92">
      <w:pPr>
        <w:pStyle w:val="Heading1"/>
      </w:pPr>
      <w:bookmarkStart w:id="8" w:name="_Toc33171572"/>
      <w:r w:rsidRPr="003D4DA4">
        <w:lastRenderedPageBreak/>
        <w:t>Préparation en vue du cours</w:t>
      </w:r>
      <w:bookmarkEnd w:id="8"/>
    </w:p>
    <w:p w14:paraId="568C7BF6" w14:textId="61000E3A" w:rsidR="00312302" w:rsidRPr="003D4DA4" w:rsidRDefault="00312302" w:rsidP="00040E65">
      <w:r w:rsidRPr="003D4DA4">
        <w:t>Le formateur aura besoin d</w:t>
      </w:r>
      <w:r w:rsidR="00F03D95" w:rsidRPr="003D4DA4">
        <w:t>’</w:t>
      </w:r>
      <w:r w:rsidRPr="003D4DA4">
        <w:t>un ordinateur et d</w:t>
      </w:r>
      <w:r w:rsidR="00F03D95" w:rsidRPr="003D4DA4">
        <w:t>’</w:t>
      </w:r>
      <w:r w:rsidRPr="003D4DA4">
        <w:t>un projecteur pour présenter à l</w:t>
      </w:r>
      <w:r w:rsidR="00F03D95" w:rsidRPr="003D4DA4">
        <w:t>’</w:t>
      </w:r>
      <w:r w:rsidRPr="003D4DA4">
        <w:t>écran le diaporama du cours sur le GAFTO (doit inclure toutes les diapositives personnalisées pour la partie 4 du cours).</w:t>
      </w:r>
    </w:p>
    <w:p w14:paraId="667C727E" w14:textId="6D461EE2" w:rsidR="00312302" w:rsidRPr="003D4DA4" w:rsidRDefault="00F43E95" w:rsidP="00CA4F18">
      <w:pPr>
        <w:pStyle w:val="Heading2"/>
      </w:pPr>
      <w:bookmarkStart w:id="9" w:name="_Toc33171573"/>
      <w:r w:rsidRPr="003D4DA4">
        <w:t>Activités « Faites travailler vos méninges »</w:t>
      </w:r>
      <w:bookmarkEnd w:id="9"/>
    </w:p>
    <w:p w14:paraId="4F413BB7" w14:textId="036F0E4B" w:rsidR="00312302" w:rsidRPr="003D4DA4" w:rsidRDefault="007A2429" w:rsidP="00040E65">
      <w:r w:rsidRPr="003D4DA4">
        <w:t>En plus d</w:t>
      </w:r>
      <w:r w:rsidR="00F03D95" w:rsidRPr="003D4DA4">
        <w:t>’</w:t>
      </w:r>
      <w:r w:rsidRPr="003D4DA4">
        <w:t>un grand mur ou d</w:t>
      </w:r>
      <w:r w:rsidR="00F03D95" w:rsidRPr="003D4DA4">
        <w:t>’</w:t>
      </w:r>
      <w:r w:rsidRPr="003D4DA4">
        <w:t>un tableau blanc, le formateur aura besoin du matériel suivant pour réaliser toutes les activités « Faites travailler vos méninges » de la partie 5 du cours :</w:t>
      </w:r>
    </w:p>
    <w:p w14:paraId="149CC38F" w14:textId="38916906" w:rsidR="00312302" w:rsidRPr="003D4DA4" w:rsidRDefault="005D046D" w:rsidP="00953A27">
      <w:pPr>
        <w:pStyle w:val="ListParagraph"/>
        <w:numPr>
          <w:ilvl w:val="0"/>
          <w:numId w:val="15"/>
        </w:numPr>
      </w:pPr>
      <w:r w:rsidRPr="003D4DA4">
        <w:t>Exemplaires</w:t>
      </w:r>
      <w:r w:rsidR="00312302" w:rsidRPr="003D4DA4">
        <w:t xml:space="preserve"> imprimés du GAFTO (suggestion : 1 pour 3 ou 4 participants). Les participants peuvent également être invités à se munir d</w:t>
      </w:r>
      <w:r w:rsidR="00F03D95" w:rsidRPr="003D4DA4">
        <w:t>’</w:t>
      </w:r>
      <w:r w:rsidR="00312302" w:rsidRPr="003D4DA4">
        <w:t>un appareil électronique;</w:t>
      </w:r>
    </w:p>
    <w:p w14:paraId="6E0D855A" w14:textId="3F3EC9D0" w:rsidR="004030A5" w:rsidRPr="003D4DA4" w:rsidRDefault="005D046D" w:rsidP="004030A5">
      <w:pPr>
        <w:pStyle w:val="ListParagraph"/>
        <w:numPr>
          <w:ilvl w:val="0"/>
          <w:numId w:val="15"/>
        </w:numPr>
      </w:pPr>
      <w:r w:rsidRPr="003D4DA4">
        <w:t>Exemplaires</w:t>
      </w:r>
      <w:r w:rsidR="004030A5" w:rsidRPr="003D4DA4">
        <w:t xml:space="preserve"> imprimés de la présentation PowerPoint du cours sur le GAFTO (suggestion : 1 par participant);</w:t>
      </w:r>
    </w:p>
    <w:p w14:paraId="5D0703E3" w14:textId="42DC238D" w:rsidR="00FD4B2F" w:rsidRPr="003D4DA4" w:rsidRDefault="005D046D" w:rsidP="00953A27">
      <w:pPr>
        <w:pStyle w:val="ListParagraph"/>
        <w:numPr>
          <w:ilvl w:val="0"/>
          <w:numId w:val="15"/>
        </w:numPr>
      </w:pPr>
      <w:r w:rsidRPr="003D4DA4">
        <w:t>Exemplaires</w:t>
      </w:r>
      <w:r w:rsidR="004030A5" w:rsidRPr="003D4DA4">
        <w:t xml:space="preserve"> imprimés (1 par participant) des quatre principes (sur une seule feuille);</w:t>
      </w:r>
    </w:p>
    <w:p w14:paraId="61DEA4D7" w14:textId="19CCBD31" w:rsidR="007A2429" w:rsidRPr="003D4DA4" w:rsidRDefault="007A2429" w:rsidP="007A2429">
      <w:pPr>
        <w:pStyle w:val="ListParagraph"/>
        <w:numPr>
          <w:ilvl w:val="0"/>
          <w:numId w:val="15"/>
        </w:numPr>
      </w:pPr>
      <w:r w:rsidRPr="003D4DA4">
        <w:t>exemplaires imprimés des scénarios choisis (cas d</w:t>
      </w:r>
      <w:r w:rsidR="00F03D95" w:rsidRPr="003D4DA4">
        <w:t>’</w:t>
      </w:r>
      <w:r w:rsidRPr="003D4DA4">
        <w:t>utilisation appropriée et inappropriée des fonds de subvention) pour l</w:t>
      </w:r>
      <w:r w:rsidR="00F03D95" w:rsidRPr="003D4DA4">
        <w:t>’</w:t>
      </w:r>
      <w:r w:rsidRPr="003D4DA4">
        <w:t>activité 2 – partie 1, un par feuille</w:t>
      </w:r>
      <w:r w:rsidR="00037176" w:rsidRPr="003D4DA4">
        <w:t>;</w:t>
      </w:r>
    </w:p>
    <w:p w14:paraId="712D0B7B" w14:textId="77846C5D" w:rsidR="00312302" w:rsidRPr="003D4DA4" w:rsidRDefault="007A2429" w:rsidP="00953A27">
      <w:pPr>
        <w:pStyle w:val="ListParagraph"/>
        <w:numPr>
          <w:ilvl w:val="0"/>
          <w:numId w:val="15"/>
        </w:numPr>
      </w:pPr>
      <w:r w:rsidRPr="003D4DA4">
        <w:t xml:space="preserve">blocs de </w:t>
      </w:r>
      <w:r w:rsidR="00981769" w:rsidRPr="003D4DA4">
        <w:t xml:space="preserve">papillons </w:t>
      </w:r>
      <w:r w:rsidRPr="003D4DA4">
        <w:t>adhési</w:t>
      </w:r>
      <w:r w:rsidR="00981769" w:rsidRPr="003D4DA4">
        <w:t>f</w:t>
      </w:r>
      <w:r w:rsidRPr="003D4DA4">
        <w:t>s;</w:t>
      </w:r>
    </w:p>
    <w:p w14:paraId="681E5CBA" w14:textId="06F32BAB" w:rsidR="00312302" w:rsidRPr="003D4DA4" w:rsidRDefault="005D046D" w:rsidP="00953A27">
      <w:pPr>
        <w:pStyle w:val="ListParagraph"/>
        <w:numPr>
          <w:ilvl w:val="0"/>
          <w:numId w:val="15"/>
        </w:numPr>
      </w:pPr>
      <w:r w:rsidRPr="003D4DA4">
        <w:t>Stylos</w:t>
      </w:r>
      <w:r w:rsidR="00312302" w:rsidRPr="003D4DA4">
        <w:t xml:space="preserve"> et marqueurs (suggestion : 1 par participant);</w:t>
      </w:r>
    </w:p>
    <w:p w14:paraId="6FD82CE6" w14:textId="36F38D43" w:rsidR="00312302" w:rsidRPr="003D4DA4" w:rsidRDefault="005D046D" w:rsidP="00953A27">
      <w:pPr>
        <w:pStyle w:val="ListParagraph"/>
        <w:numPr>
          <w:ilvl w:val="0"/>
          <w:numId w:val="15"/>
        </w:numPr>
      </w:pPr>
      <w:r w:rsidRPr="003D4DA4">
        <w:t>Blocs</w:t>
      </w:r>
      <w:r w:rsidR="00312302" w:rsidRPr="003D4DA4">
        <w:t>-notes (suggestion : 1 pour 3 ou 4 participants);</w:t>
      </w:r>
    </w:p>
    <w:p w14:paraId="533F71E2" w14:textId="2E3E28C4" w:rsidR="00312302" w:rsidRPr="003D4DA4" w:rsidRDefault="00DB6BFD" w:rsidP="00953A27">
      <w:pPr>
        <w:pStyle w:val="ListParagraph"/>
        <w:numPr>
          <w:ilvl w:val="0"/>
          <w:numId w:val="15"/>
        </w:numPr>
      </w:pPr>
      <w:r w:rsidRPr="003D4DA4">
        <w:t xml:space="preserve">tableaux </w:t>
      </w:r>
      <w:r w:rsidR="00981769" w:rsidRPr="003D4DA4">
        <w:t>de papier</w:t>
      </w:r>
      <w:r w:rsidRPr="003D4DA4">
        <w:t xml:space="preserve"> (si disponibles);</w:t>
      </w:r>
    </w:p>
    <w:p w14:paraId="2ADB6BF8" w14:textId="00308E4B" w:rsidR="004030A5" w:rsidRPr="003D4DA4" w:rsidRDefault="005D046D" w:rsidP="007A2429">
      <w:pPr>
        <w:pStyle w:val="ListParagraph"/>
        <w:numPr>
          <w:ilvl w:val="0"/>
          <w:numId w:val="15"/>
        </w:numPr>
      </w:pPr>
      <w:r w:rsidRPr="003D4DA4">
        <w:t>Ruban</w:t>
      </w:r>
      <w:r w:rsidR="00DB6BFD" w:rsidRPr="003D4DA4">
        <w:t xml:space="preserve"> masque.</w:t>
      </w:r>
    </w:p>
    <w:p w14:paraId="6E0012AB" w14:textId="21AEC025" w:rsidR="00040E65" w:rsidRPr="003D4DA4" w:rsidRDefault="00F43E95" w:rsidP="00DA05AF">
      <w:pPr>
        <w:pStyle w:val="Heading3"/>
      </w:pPr>
      <w:r w:rsidRPr="003D4DA4">
        <w:t xml:space="preserve"> </w:t>
      </w:r>
      <w:bookmarkStart w:id="10" w:name="_Toc33171574"/>
      <w:r w:rsidRPr="003D4DA4">
        <w:t>« Faites travailler vos méninges »</w:t>
      </w:r>
      <w:r w:rsidR="00764D69" w:rsidRPr="003D4DA4">
        <w:t xml:space="preserve"> – activité 1</w:t>
      </w:r>
      <w:r w:rsidRPr="003D4DA4">
        <w:t> : D</w:t>
      </w:r>
      <w:r w:rsidR="00F03D95" w:rsidRPr="003D4DA4">
        <w:t>’</w:t>
      </w:r>
      <w:r w:rsidRPr="003D4DA4">
        <w:t>après votre propre expérience</w:t>
      </w:r>
      <w:bookmarkEnd w:id="10"/>
    </w:p>
    <w:p w14:paraId="6C116AD9" w14:textId="2C623847" w:rsidR="00F87F67" w:rsidRPr="003D4DA4" w:rsidRDefault="00F87F67" w:rsidP="00F87F67">
      <w:pPr>
        <w:rPr>
          <w:b/>
        </w:rPr>
      </w:pPr>
      <w:r w:rsidRPr="003D4DA4">
        <w:rPr>
          <w:b/>
        </w:rPr>
        <w:t>Description :</w:t>
      </w:r>
    </w:p>
    <w:p w14:paraId="6055488D" w14:textId="6BABB527" w:rsidR="00F87F67" w:rsidRPr="003D4DA4" w:rsidRDefault="00FD4B2F" w:rsidP="00B11ACE">
      <w:pPr>
        <w:pStyle w:val="ListParagraph"/>
        <w:numPr>
          <w:ilvl w:val="0"/>
          <w:numId w:val="21"/>
        </w:numPr>
      </w:pPr>
      <w:r w:rsidRPr="003D4DA4">
        <w:t>Dans cette activité en deux parties, les participants puiseront dans leur propre expérience dans le domaine de l</w:t>
      </w:r>
      <w:r w:rsidR="00F03D95" w:rsidRPr="003D4DA4">
        <w:t>’</w:t>
      </w:r>
      <w:r w:rsidRPr="003D4DA4">
        <w:t xml:space="preserve">administration financière pour cerner des scénarios qui illustrent une utilisation appropriée et inappropriée des fonds de subvention. </w:t>
      </w:r>
    </w:p>
    <w:p w14:paraId="72A589C5" w14:textId="77777777" w:rsidR="00F87F67" w:rsidRPr="003D4DA4" w:rsidRDefault="00FD4B2F" w:rsidP="00B11ACE">
      <w:pPr>
        <w:pStyle w:val="ListParagraph"/>
        <w:numPr>
          <w:ilvl w:val="0"/>
          <w:numId w:val="21"/>
        </w:numPr>
      </w:pPr>
      <w:r w:rsidRPr="003D4DA4">
        <w:t xml:space="preserve">Pour chaque scénario considéré comme une utilisation inappropriée des fonds de subvention, ils détermineront quel principe ou quelle directive du GAFTO a été violé. </w:t>
      </w:r>
    </w:p>
    <w:p w14:paraId="13D90D1B" w14:textId="154149D3" w:rsidR="00FD4B2F" w:rsidRPr="003D4DA4" w:rsidRDefault="00FD4B2F" w:rsidP="00B11ACE">
      <w:pPr>
        <w:pStyle w:val="ListParagraph"/>
        <w:numPr>
          <w:ilvl w:val="0"/>
          <w:numId w:val="21"/>
        </w:numPr>
      </w:pPr>
      <w:r w:rsidRPr="003D4DA4">
        <w:t>En petits groupes, les participants choisiront un scénario illustrant une utilisation inappropriée des fonds de subvention et détermineront comment il pourrait être modifié pour représenter une utilisation appropriée des fonds de subvention.</w:t>
      </w:r>
    </w:p>
    <w:p w14:paraId="48FC8FB4" w14:textId="609DBEB6" w:rsidR="00F87F67" w:rsidRPr="003D4DA4" w:rsidRDefault="00F87F67" w:rsidP="00B11ACE">
      <w:pPr>
        <w:pStyle w:val="ListParagraph"/>
        <w:numPr>
          <w:ilvl w:val="0"/>
          <w:numId w:val="21"/>
        </w:numPr>
      </w:pPr>
      <w:r w:rsidRPr="003D4DA4">
        <w:t xml:space="preserve">Ils rédigeront le scénario choisi sur </w:t>
      </w:r>
      <w:r w:rsidR="00764D69" w:rsidRPr="003D4DA4">
        <w:t>un papillon adhésif</w:t>
      </w:r>
      <w:r w:rsidRPr="003D4DA4">
        <w:t xml:space="preserve"> et l</w:t>
      </w:r>
      <w:r w:rsidR="00F03D95" w:rsidRPr="003D4DA4">
        <w:t>’</w:t>
      </w:r>
      <w:r w:rsidRPr="003D4DA4">
        <w:t>afficheront (p. ex. sur un mur ou un tableau blanc) dans la catégorie ou la section concernée.</w:t>
      </w:r>
    </w:p>
    <w:p w14:paraId="1CB62E66" w14:textId="12B411A4" w:rsidR="00F87F67" w:rsidRPr="003D4DA4" w:rsidRDefault="00F87F67" w:rsidP="00FD4B2F">
      <w:pPr>
        <w:rPr>
          <w:b/>
        </w:rPr>
      </w:pPr>
      <w:r w:rsidRPr="003D4DA4">
        <w:rPr>
          <w:b/>
        </w:rPr>
        <w:t>Directives de préparation :</w:t>
      </w:r>
    </w:p>
    <w:p w14:paraId="0827AB26" w14:textId="2EE3DC88" w:rsidR="00E06A03" w:rsidRPr="003D4DA4" w:rsidRDefault="00E06A03" w:rsidP="00E06A03">
      <w:pPr>
        <w:pStyle w:val="ListParagraph"/>
        <w:numPr>
          <w:ilvl w:val="0"/>
          <w:numId w:val="22"/>
        </w:numPr>
      </w:pPr>
      <w:r w:rsidRPr="003D4DA4">
        <w:t>Imprimez un exemplaire (recto) des pages suivantes de l</w:t>
      </w:r>
      <w:r w:rsidR="00F03D95" w:rsidRPr="003D4DA4">
        <w:t>’</w:t>
      </w:r>
      <w:r w:rsidRPr="003D4DA4">
        <w:t>annexe B du livret d</w:t>
      </w:r>
      <w:r w:rsidR="00F03D95" w:rsidRPr="003D4DA4">
        <w:t>’</w:t>
      </w:r>
      <w:r w:rsidRPr="003D4DA4">
        <w:t>activités :</w:t>
      </w:r>
    </w:p>
    <w:p w14:paraId="1EF80B12" w14:textId="0BBB9462" w:rsidR="00E06A03" w:rsidRPr="003D4DA4" w:rsidRDefault="005D046D" w:rsidP="00E06A03">
      <w:pPr>
        <w:pStyle w:val="ListParagraph"/>
        <w:numPr>
          <w:ilvl w:val="1"/>
          <w:numId w:val="22"/>
        </w:numPr>
      </w:pPr>
      <w:r w:rsidRPr="003D4DA4">
        <w:t>Principe</w:t>
      </w:r>
      <w:r w:rsidR="00E06A03" w:rsidRPr="003D4DA4">
        <w:t> 1;</w:t>
      </w:r>
    </w:p>
    <w:p w14:paraId="42B604CF" w14:textId="5E605918" w:rsidR="00E06A03" w:rsidRPr="003D4DA4" w:rsidRDefault="005D046D" w:rsidP="00E06A03">
      <w:pPr>
        <w:pStyle w:val="ListParagraph"/>
        <w:numPr>
          <w:ilvl w:val="1"/>
          <w:numId w:val="22"/>
        </w:numPr>
      </w:pPr>
      <w:r w:rsidRPr="003D4DA4">
        <w:t>Principe</w:t>
      </w:r>
      <w:r w:rsidR="00E06A03" w:rsidRPr="003D4DA4">
        <w:t> 2;</w:t>
      </w:r>
    </w:p>
    <w:p w14:paraId="5BE35B2B" w14:textId="56B5E231" w:rsidR="00E06A03" w:rsidRPr="003D4DA4" w:rsidRDefault="005D046D" w:rsidP="00E06A03">
      <w:pPr>
        <w:pStyle w:val="ListParagraph"/>
        <w:numPr>
          <w:ilvl w:val="1"/>
          <w:numId w:val="22"/>
        </w:numPr>
      </w:pPr>
      <w:r w:rsidRPr="003D4DA4">
        <w:t>Principe</w:t>
      </w:r>
      <w:r w:rsidR="00E06A03" w:rsidRPr="003D4DA4">
        <w:t> 3;</w:t>
      </w:r>
    </w:p>
    <w:p w14:paraId="3C2D5A3C" w14:textId="1EB4228B" w:rsidR="00E06A03" w:rsidRPr="003D4DA4" w:rsidRDefault="005D046D" w:rsidP="00E06A03">
      <w:pPr>
        <w:pStyle w:val="ListParagraph"/>
        <w:numPr>
          <w:ilvl w:val="1"/>
          <w:numId w:val="22"/>
        </w:numPr>
      </w:pPr>
      <w:r w:rsidRPr="003D4DA4">
        <w:t>Principe</w:t>
      </w:r>
      <w:r w:rsidR="00E06A03" w:rsidRPr="003D4DA4">
        <w:t> 4;</w:t>
      </w:r>
    </w:p>
    <w:p w14:paraId="32EB92EE" w14:textId="0E2E9595" w:rsidR="00E06A03" w:rsidRPr="003D4DA4" w:rsidRDefault="005D046D" w:rsidP="00E06A03">
      <w:pPr>
        <w:pStyle w:val="ListParagraph"/>
        <w:numPr>
          <w:ilvl w:val="1"/>
          <w:numId w:val="22"/>
        </w:numPr>
      </w:pPr>
      <w:r w:rsidRPr="003D4DA4">
        <w:t>Directives</w:t>
      </w:r>
      <w:r w:rsidR="00E06A03" w:rsidRPr="003D4DA4">
        <w:t>;</w:t>
      </w:r>
    </w:p>
    <w:p w14:paraId="06F2581D" w14:textId="50838D5E" w:rsidR="00E06A03" w:rsidRPr="003D4DA4" w:rsidRDefault="005D046D" w:rsidP="00B11ACE">
      <w:pPr>
        <w:pStyle w:val="ListParagraph"/>
        <w:numPr>
          <w:ilvl w:val="1"/>
          <w:numId w:val="22"/>
        </w:numPr>
      </w:pPr>
      <w:r w:rsidRPr="003D4DA4">
        <w:t>Utilisation</w:t>
      </w:r>
      <w:r w:rsidR="00E06A03" w:rsidRPr="003D4DA4">
        <w:t xml:space="preserve"> appropriée des fonds de subvention.</w:t>
      </w:r>
    </w:p>
    <w:p w14:paraId="6D8F1DF5" w14:textId="77777777" w:rsidR="00DB48BC" w:rsidRDefault="00DB48BC">
      <w:r>
        <w:br w:type="page"/>
      </w:r>
    </w:p>
    <w:p w14:paraId="710AA849" w14:textId="2DC805B1" w:rsidR="00E06A03" w:rsidRPr="003D4DA4" w:rsidRDefault="00040E65" w:rsidP="00B11ACE">
      <w:pPr>
        <w:pStyle w:val="ListParagraph"/>
        <w:numPr>
          <w:ilvl w:val="0"/>
          <w:numId w:val="22"/>
        </w:numPr>
      </w:pPr>
      <w:r w:rsidRPr="003D4DA4">
        <w:lastRenderedPageBreak/>
        <w:t>Divisez un grand mur ou un tableau blanc en six sections et collez une des pages imprimées (</w:t>
      </w:r>
      <w:r w:rsidR="00764D69" w:rsidRPr="003D4DA4">
        <w:t>6 </w:t>
      </w:r>
      <w:r w:rsidRPr="003D4DA4">
        <w:t>au total) dans chaque section.</w:t>
      </w:r>
    </w:p>
    <w:p w14:paraId="43D12F2F" w14:textId="77777777" w:rsidR="00B11ACE" w:rsidRPr="003D4DA4" w:rsidRDefault="00B11ACE" w:rsidP="00B11ACE">
      <w:pPr>
        <w:pStyle w:val="ListParagraph"/>
      </w:pPr>
    </w:p>
    <w:p w14:paraId="1B03EE80" w14:textId="17282411" w:rsidR="00040E65" w:rsidRPr="003D4DA4" w:rsidRDefault="00DB48BC" w:rsidP="00DB48BC">
      <w:pPr>
        <w:pStyle w:val="ListParagraph"/>
        <w:jc w:val="center"/>
      </w:pPr>
      <w:r>
        <w:rPr>
          <w:noProof/>
          <w:lang w:val="en-US"/>
        </w:rPr>
        <w:drawing>
          <wp:inline distT="0" distB="0" distL="0" distR="0" wp14:anchorId="79FC530D" wp14:editId="600B005F">
            <wp:extent cx="3959352" cy="2971800"/>
            <wp:effectExtent l="114300" t="114300" r="117475" b="152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0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59352" cy="2971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0E1641E" w14:textId="21EB28BA" w:rsidR="00040E65" w:rsidRPr="003D4DA4" w:rsidRDefault="009B571C" w:rsidP="00B11ACE">
      <w:pPr>
        <w:pStyle w:val="ListParagraph"/>
        <w:numPr>
          <w:ilvl w:val="0"/>
          <w:numId w:val="23"/>
        </w:numPr>
      </w:pPr>
      <w:r w:rsidRPr="003D4DA4">
        <w:t xml:space="preserve">Pour réaliser cette activité, chaque participant doit recevoir un bloc de </w:t>
      </w:r>
      <w:r w:rsidR="00E76FF0" w:rsidRPr="003D4DA4">
        <w:t xml:space="preserve">papillons </w:t>
      </w:r>
      <w:r w:rsidRPr="003D4DA4">
        <w:t>adhési</w:t>
      </w:r>
      <w:r w:rsidR="00E76FF0" w:rsidRPr="003D4DA4">
        <w:t>f</w:t>
      </w:r>
      <w:r w:rsidRPr="003D4DA4">
        <w:t>s, un bloc-notes et un stylo.</w:t>
      </w:r>
    </w:p>
    <w:p w14:paraId="275EEE6B" w14:textId="173830F8" w:rsidR="00F83660" w:rsidRPr="003D4DA4" w:rsidRDefault="00F83660" w:rsidP="00B11ACE">
      <w:pPr>
        <w:pStyle w:val="ListParagraph"/>
        <w:numPr>
          <w:ilvl w:val="0"/>
          <w:numId w:val="23"/>
        </w:numPr>
      </w:pPr>
      <w:r w:rsidRPr="003D4DA4">
        <w:t>Pour des directives complètes, reportez-vous à la partie « Activité 1 : D</w:t>
      </w:r>
      <w:r w:rsidR="00F03D95" w:rsidRPr="003D4DA4">
        <w:t>’</w:t>
      </w:r>
      <w:r w:rsidRPr="003D4DA4">
        <w:t>après votre propre expérience » du livret d</w:t>
      </w:r>
      <w:r w:rsidR="00F03D95" w:rsidRPr="003D4DA4">
        <w:t>’</w:t>
      </w:r>
      <w:r w:rsidRPr="003D4DA4">
        <w:t>activités. Des notes à l</w:t>
      </w:r>
      <w:r w:rsidR="00F03D95" w:rsidRPr="003D4DA4">
        <w:t>’</w:t>
      </w:r>
      <w:r w:rsidRPr="003D4DA4">
        <w:t xml:space="preserve">intention des formateurs sont également à votre disposition à </w:t>
      </w:r>
      <w:r w:rsidR="00310332" w:rsidRPr="003D4DA4">
        <w:t>titre informatif</w:t>
      </w:r>
      <w:r w:rsidRPr="003D4DA4">
        <w:t>.</w:t>
      </w:r>
    </w:p>
    <w:p w14:paraId="61CA8E8A" w14:textId="15B3FB74" w:rsidR="00DA05AF" w:rsidRPr="003D4DA4" w:rsidRDefault="00F43E95" w:rsidP="00DA05AF">
      <w:pPr>
        <w:pStyle w:val="Heading3"/>
      </w:pPr>
      <w:bookmarkStart w:id="11" w:name="_Toc33171575"/>
      <w:r w:rsidRPr="003D4DA4">
        <w:t>« Faites travailler vos méninges »</w:t>
      </w:r>
      <w:r w:rsidR="00310332" w:rsidRPr="003D4DA4">
        <w:t xml:space="preserve"> – activité</w:t>
      </w:r>
      <w:r w:rsidRPr="003D4DA4">
        <w:t xml:space="preserve"> 2 : </w:t>
      </w:r>
      <w:r w:rsidR="00310332" w:rsidRPr="003D4DA4">
        <w:t>Manquement à un</w:t>
      </w:r>
      <w:r w:rsidRPr="003D4DA4">
        <w:t xml:space="preserve"> principe ou </w:t>
      </w:r>
      <w:r w:rsidR="00310332" w:rsidRPr="003D4DA4">
        <w:t xml:space="preserve">à une </w:t>
      </w:r>
      <w:r w:rsidRPr="003D4DA4">
        <w:t>directive</w:t>
      </w:r>
      <w:bookmarkEnd w:id="11"/>
    </w:p>
    <w:p w14:paraId="10FE9487" w14:textId="38DA062F" w:rsidR="00DB2CA0" w:rsidRPr="003D4DA4" w:rsidRDefault="00DB2CA0" w:rsidP="00DB2CA0">
      <w:pPr>
        <w:rPr>
          <w:b/>
        </w:rPr>
      </w:pPr>
      <w:r w:rsidRPr="003D4DA4">
        <w:rPr>
          <w:b/>
        </w:rPr>
        <w:t>Description :</w:t>
      </w:r>
    </w:p>
    <w:p w14:paraId="07F66181" w14:textId="140A712D" w:rsidR="009B571C" w:rsidRPr="003D4DA4" w:rsidRDefault="00CA4F18" w:rsidP="00B11ACE">
      <w:pPr>
        <w:pStyle w:val="ListParagraph"/>
        <w:numPr>
          <w:ilvl w:val="0"/>
          <w:numId w:val="23"/>
        </w:numPr>
      </w:pPr>
      <w:r w:rsidRPr="003D4DA4">
        <w:t xml:space="preserve">Dans cette activité en deux parties, les participants détermineront quels principes ou quelles directives ont été violés dans les scénarios illustrant une utilisation inappropriée des fonds de subvention ayant été sélectionnés et affichés par le formateur. </w:t>
      </w:r>
    </w:p>
    <w:p w14:paraId="6CE8F895" w14:textId="32F2BF5E" w:rsidR="00FF15C6" w:rsidRPr="003D4DA4" w:rsidRDefault="00CA4F18" w:rsidP="00B11ACE">
      <w:pPr>
        <w:pStyle w:val="ListParagraph"/>
        <w:numPr>
          <w:ilvl w:val="0"/>
          <w:numId w:val="23"/>
        </w:numPr>
      </w:pPr>
      <w:r w:rsidRPr="003D4DA4">
        <w:t xml:space="preserve">En petits groupes, </w:t>
      </w:r>
      <w:r w:rsidR="00D350ED" w:rsidRPr="003D4DA4">
        <w:t xml:space="preserve">les participants </w:t>
      </w:r>
      <w:r w:rsidRPr="003D4DA4">
        <w:t>choisiront un scénario (p. ex. sur le mur ou le tableau blanc) et évalueront la pertinence de l</w:t>
      </w:r>
      <w:r w:rsidR="00F03D95" w:rsidRPr="003D4DA4">
        <w:t>’</w:t>
      </w:r>
      <w:r w:rsidRPr="003D4DA4">
        <w:t>utilisation des fonds de subvention, en se fondant sur l</w:t>
      </w:r>
      <w:r w:rsidR="00F03D95" w:rsidRPr="003D4DA4">
        <w:t>’</w:t>
      </w:r>
      <w:r w:rsidRPr="003D4DA4">
        <w:t xml:space="preserve">ordre </w:t>
      </w:r>
      <w:r w:rsidR="007037AB">
        <w:t>d’évaluation</w:t>
      </w:r>
      <w:r w:rsidRPr="003D4DA4">
        <w:t xml:space="preserve"> établi (c.-à-d. les principes et directives du GAFTO, la documentation relative au programme ou à la possibilité de financement et les politiques et directives de l</w:t>
      </w:r>
      <w:r w:rsidR="00F03D95" w:rsidRPr="003D4DA4">
        <w:t>’</w:t>
      </w:r>
      <w:r w:rsidRPr="003D4DA4">
        <w:t xml:space="preserve">établissement). </w:t>
      </w:r>
    </w:p>
    <w:p w14:paraId="32CB3474" w14:textId="101D1C31" w:rsidR="00CA4F18" w:rsidRPr="003D4DA4" w:rsidRDefault="00FF15C6" w:rsidP="00B11ACE">
      <w:pPr>
        <w:pStyle w:val="ListParagraph"/>
        <w:numPr>
          <w:ilvl w:val="0"/>
          <w:numId w:val="23"/>
        </w:numPr>
      </w:pPr>
      <w:r w:rsidRPr="003D4DA4">
        <w:t>Les participants modifieront ensuite le scénario qu</w:t>
      </w:r>
      <w:r w:rsidR="00F03D95" w:rsidRPr="003D4DA4">
        <w:t>’</w:t>
      </w:r>
      <w:r w:rsidRPr="003D4DA4">
        <w:t xml:space="preserve">ils ont choisi de façon à </w:t>
      </w:r>
      <w:r w:rsidR="006429F7" w:rsidRPr="003D4DA4">
        <w:t xml:space="preserve">ce qu’il illustre </w:t>
      </w:r>
      <w:r w:rsidRPr="003D4DA4">
        <w:t>une utilisation appropriée des fonds de subvention.</w:t>
      </w:r>
    </w:p>
    <w:p w14:paraId="7C135A9E" w14:textId="5E9AF1B2" w:rsidR="00DB2CA0" w:rsidRPr="003D4DA4" w:rsidRDefault="00DB2CA0" w:rsidP="006C2C95">
      <w:pPr>
        <w:rPr>
          <w:b/>
        </w:rPr>
      </w:pPr>
      <w:r w:rsidRPr="003D4DA4">
        <w:rPr>
          <w:b/>
        </w:rPr>
        <w:t>Directives de préparation :</w:t>
      </w:r>
    </w:p>
    <w:p w14:paraId="32CB5949" w14:textId="7FFD6CB5" w:rsidR="00A15015" w:rsidRPr="003D4DA4" w:rsidRDefault="00A15015" w:rsidP="00A15015">
      <w:pPr>
        <w:pStyle w:val="ListParagraph"/>
        <w:numPr>
          <w:ilvl w:val="0"/>
          <w:numId w:val="4"/>
        </w:numPr>
      </w:pPr>
      <w:r w:rsidRPr="003D4DA4">
        <w:t xml:space="preserve">Sélectionnez six scénarios illustrant une utilisation </w:t>
      </w:r>
      <w:r w:rsidRPr="003D4DA4">
        <w:rPr>
          <w:u w:val="single"/>
        </w:rPr>
        <w:t>inappropriée</w:t>
      </w:r>
      <w:r w:rsidRPr="003D4DA4">
        <w:t xml:space="preserve"> des fonds de subvention à l</w:t>
      </w:r>
      <w:r w:rsidR="00F03D95" w:rsidRPr="003D4DA4">
        <w:t>’</w:t>
      </w:r>
      <w:r w:rsidRPr="003D4DA4">
        <w:t>annexe A du livret d</w:t>
      </w:r>
      <w:r w:rsidR="00F03D95" w:rsidRPr="003D4DA4">
        <w:t>’</w:t>
      </w:r>
      <w:r w:rsidRPr="003D4DA4">
        <w:t>activités.</w:t>
      </w:r>
    </w:p>
    <w:p w14:paraId="5A7A43FE" w14:textId="2FD231B6" w:rsidR="00A15015" w:rsidRPr="003D4DA4" w:rsidRDefault="00A15015" w:rsidP="00A15015">
      <w:pPr>
        <w:pStyle w:val="ListParagraph"/>
        <w:rPr>
          <w:i/>
        </w:rPr>
      </w:pPr>
      <w:r w:rsidRPr="003D4DA4">
        <w:rPr>
          <w:i/>
        </w:rPr>
        <w:t>Vous pouvez utiliser vos propres scénarios.</w:t>
      </w:r>
    </w:p>
    <w:p w14:paraId="1B0D8F23" w14:textId="02F1D2CB" w:rsidR="00A15015" w:rsidRPr="003D4DA4" w:rsidRDefault="00A15015" w:rsidP="00A15015">
      <w:pPr>
        <w:pStyle w:val="ListParagraph"/>
        <w:numPr>
          <w:ilvl w:val="0"/>
          <w:numId w:val="4"/>
        </w:numPr>
      </w:pPr>
      <w:r w:rsidRPr="003D4DA4">
        <w:lastRenderedPageBreak/>
        <w:t>Préparez et imprimez les six scénarios que vous avez choisis en utilisant les modèles fournis pour l</w:t>
      </w:r>
      <w:r w:rsidR="00F03D95" w:rsidRPr="003D4DA4">
        <w:t>’</w:t>
      </w:r>
      <w:r w:rsidRPr="003D4DA4">
        <w:t>activité 2 – partie 1 à l</w:t>
      </w:r>
      <w:r w:rsidR="00F03D95" w:rsidRPr="003D4DA4">
        <w:t>’</w:t>
      </w:r>
      <w:r w:rsidRPr="003D4DA4">
        <w:t>annexe B.</w:t>
      </w:r>
    </w:p>
    <w:p w14:paraId="2272CDCB" w14:textId="561AD605" w:rsidR="00C32792" w:rsidRPr="003D4DA4" w:rsidRDefault="00A15015" w:rsidP="00C32792">
      <w:pPr>
        <w:pStyle w:val="ListParagraph"/>
        <w:numPr>
          <w:ilvl w:val="0"/>
          <w:numId w:val="4"/>
        </w:numPr>
      </w:pPr>
      <w:r w:rsidRPr="003D4DA4">
        <w:t>Affichez les six scénarios imprimés sur un grand mur ou un tableau blanc.</w:t>
      </w:r>
    </w:p>
    <w:p w14:paraId="21EF47B5" w14:textId="5081A32E" w:rsidR="008E50FC" w:rsidRPr="003D4DA4" w:rsidRDefault="00DB48BC" w:rsidP="00DB48BC">
      <w:pPr>
        <w:pStyle w:val="ListParagraph"/>
        <w:jc w:val="center"/>
      </w:pPr>
      <w:r>
        <w:rPr>
          <w:b/>
          <w:noProof/>
          <w:lang w:val="en-US"/>
        </w:rPr>
        <w:drawing>
          <wp:inline distT="0" distB="0" distL="0" distR="0" wp14:anchorId="185DEC90" wp14:editId="66490369">
            <wp:extent cx="3959352" cy="2971800"/>
            <wp:effectExtent l="114300" t="114300" r="117475" b="152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59352" cy="2971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61EF68C" w14:textId="77777777" w:rsidR="00C32792" w:rsidRPr="003D4DA4" w:rsidRDefault="00C32792" w:rsidP="00C32792">
      <w:pPr>
        <w:pStyle w:val="ListParagraph"/>
      </w:pPr>
    </w:p>
    <w:p w14:paraId="4B1E52F3" w14:textId="47CF2CDD" w:rsidR="00F93838" w:rsidRPr="003D4DA4" w:rsidRDefault="002560E8" w:rsidP="00BF35AB">
      <w:pPr>
        <w:pStyle w:val="ListParagraph"/>
        <w:numPr>
          <w:ilvl w:val="0"/>
          <w:numId w:val="4"/>
        </w:numPr>
      </w:pPr>
      <w:r w:rsidRPr="003D4DA4">
        <w:t xml:space="preserve">Pour réaliser cette activité, chaque participant doit recevoir un bloc de </w:t>
      </w:r>
      <w:r w:rsidR="004C797F" w:rsidRPr="003D4DA4">
        <w:t>papillons adhésifs</w:t>
      </w:r>
      <w:r w:rsidRPr="003D4DA4">
        <w:t>, un bloc-notes et un stylo.</w:t>
      </w:r>
    </w:p>
    <w:p w14:paraId="5328A1A3" w14:textId="31A3377B" w:rsidR="00F83660" w:rsidRPr="003D4DA4" w:rsidRDefault="00F83660" w:rsidP="00BF35AB">
      <w:pPr>
        <w:pStyle w:val="ListParagraph"/>
        <w:numPr>
          <w:ilvl w:val="0"/>
          <w:numId w:val="4"/>
        </w:numPr>
      </w:pPr>
      <w:r w:rsidRPr="003D4DA4">
        <w:t xml:space="preserve">Pour des directives complètes, reportez-vous à la partie « Activité 2 : </w:t>
      </w:r>
      <w:r w:rsidR="00145965" w:rsidRPr="003D4DA4">
        <w:t>Manquement à un</w:t>
      </w:r>
      <w:r w:rsidRPr="003D4DA4">
        <w:t xml:space="preserve"> principe ou </w:t>
      </w:r>
      <w:r w:rsidR="00145965" w:rsidRPr="003D4DA4">
        <w:t xml:space="preserve">à une </w:t>
      </w:r>
      <w:r w:rsidRPr="003D4DA4">
        <w:t>directive » du livret d</w:t>
      </w:r>
      <w:r w:rsidR="00F03D95" w:rsidRPr="003D4DA4">
        <w:t>’</w:t>
      </w:r>
      <w:r w:rsidRPr="003D4DA4">
        <w:t>activités. Des notes à l</w:t>
      </w:r>
      <w:r w:rsidR="00F03D95" w:rsidRPr="003D4DA4">
        <w:t>’</w:t>
      </w:r>
      <w:r w:rsidRPr="003D4DA4">
        <w:t xml:space="preserve">intention des formateurs sont également à votre disposition à </w:t>
      </w:r>
      <w:r w:rsidR="00145965" w:rsidRPr="003D4DA4">
        <w:t>titre informatif</w:t>
      </w:r>
      <w:r w:rsidRPr="003D4DA4">
        <w:t>.</w:t>
      </w:r>
    </w:p>
    <w:p w14:paraId="2F6013F4" w14:textId="449D8207" w:rsidR="008E50FC" w:rsidRPr="003D4DA4" w:rsidRDefault="00F43E95" w:rsidP="008E50FC">
      <w:pPr>
        <w:pStyle w:val="Heading3"/>
      </w:pPr>
      <w:bookmarkStart w:id="12" w:name="_Toc33171576"/>
      <w:r w:rsidRPr="003D4DA4">
        <w:t>« Faites travailler vos méninges » </w:t>
      </w:r>
      <w:r w:rsidR="00BE0640" w:rsidRPr="003D4DA4">
        <w:t xml:space="preserve">– activité </w:t>
      </w:r>
      <w:r w:rsidRPr="003D4DA4">
        <w:t>3 : Étude de cas</w:t>
      </w:r>
      <w:bookmarkEnd w:id="12"/>
    </w:p>
    <w:p w14:paraId="07921C25" w14:textId="0D78C36D" w:rsidR="00D038BF" w:rsidRPr="003D4DA4" w:rsidRDefault="00D038BF" w:rsidP="00CA4F18">
      <w:pPr>
        <w:rPr>
          <w:b/>
        </w:rPr>
      </w:pPr>
      <w:r w:rsidRPr="003D4DA4">
        <w:rPr>
          <w:b/>
        </w:rPr>
        <w:t>Description :</w:t>
      </w:r>
    </w:p>
    <w:p w14:paraId="1C94702D" w14:textId="2D2FF8A7" w:rsidR="00A5792A" w:rsidRPr="003D4DA4" w:rsidRDefault="00CA4F18" w:rsidP="00B11ACE">
      <w:pPr>
        <w:pStyle w:val="ListParagraph"/>
        <w:numPr>
          <w:ilvl w:val="0"/>
          <w:numId w:val="24"/>
        </w:numPr>
      </w:pPr>
      <w:r w:rsidRPr="003D4DA4">
        <w:t xml:space="preserve">Dans cette activité de mise en </w:t>
      </w:r>
      <w:r w:rsidR="00BE0640" w:rsidRPr="003D4DA4">
        <w:t>œuvre</w:t>
      </w:r>
      <w:r w:rsidRPr="003D4DA4">
        <w:t xml:space="preserve"> en trois parties, les participants choisiront un scénario (p. ex. sur le mur ou le tableau blanc) et réaliseront une première évaluation (c.-à-d. l</w:t>
      </w:r>
      <w:r w:rsidR="00F03D95" w:rsidRPr="003D4DA4">
        <w:t>’</w:t>
      </w:r>
      <w:r w:rsidRPr="003D4DA4">
        <w:t xml:space="preserve">utilisation appropriée ou inappropriée des fonds de subvention) par rapport aux quatre critères </w:t>
      </w:r>
      <w:r w:rsidR="007037AB">
        <w:t>de</w:t>
      </w:r>
      <w:r w:rsidR="007037AB" w:rsidRPr="003D4DA4">
        <w:t xml:space="preserve"> </w:t>
      </w:r>
      <w:r w:rsidRPr="003D4DA4">
        <w:t>l</w:t>
      </w:r>
      <w:r w:rsidR="00F03D95" w:rsidRPr="003D4DA4">
        <w:t>’</w:t>
      </w:r>
      <w:r w:rsidRPr="003D4DA4">
        <w:t xml:space="preserve">ordre </w:t>
      </w:r>
      <w:r w:rsidR="007037AB">
        <w:t>d’évaluation</w:t>
      </w:r>
      <w:r w:rsidRPr="003D4DA4">
        <w:t xml:space="preserve">. </w:t>
      </w:r>
    </w:p>
    <w:p w14:paraId="13EA3F33" w14:textId="2940C42F" w:rsidR="00CA4F18" w:rsidRPr="003D4DA4" w:rsidRDefault="00CA4F18" w:rsidP="00B11ACE">
      <w:pPr>
        <w:pStyle w:val="ListParagraph"/>
        <w:numPr>
          <w:ilvl w:val="0"/>
          <w:numId w:val="24"/>
        </w:numPr>
      </w:pPr>
      <w:r w:rsidRPr="003D4DA4">
        <w:t>Les participants modifieront ensuite le scénario qu</w:t>
      </w:r>
      <w:r w:rsidR="00F03D95" w:rsidRPr="003D4DA4">
        <w:t>’</w:t>
      </w:r>
      <w:r w:rsidRPr="003D4DA4">
        <w:t>ils ont choisi de façon à ce qu</w:t>
      </w:r>
      <w:r w:rsidR="00F03D95" w:rsidRPr="003D4DA4">
        <w:t>’</w:t>
      </w:r>
      <w:r w:rsidRPr="003D4DA4">
        <w:t>il illustre une utilisation appropriée ou inappropriée des fonds de subvention (c.-à-d. l</w:t>
      </w:r>
      <w:r w:rsidR="00F03D95" w:rsidRPr="003D4DA4">
        <w:t>’</w:t>
      </w:r>
      <w:r w:rsidRPr="003D4DA4">
        <w:t>inverse de leur évaluation initiale), puis présenteront leur étude de cas au groupe.</w:t>
      </w:r>
    </w:p>
    <w:p w14:paraId="3FF36241" w14:textId="2C61856A" w:rsidR="00D038BF" w:rsidRPr="003D4DA4" w:rsidRDefault="00D038BF" w:rsidP="008E50FC">
      <w:pPr>
        <w:rPr>
          <w:b/>
        </w:rPr>
      </w:pPr>
      <w:r w:rsidRPr="003D4DA4">
        <w:rPr>
          <w:b/>
        </w:rPr>
        <w:t>Directives de préparation :</w:t>
      </w:r>
    </w:p>
    <w:p w14:paraId="224C1E94" w14:textId="3CD0475C" w:rsidR="00F97A0E" w:rsidRPr="003D4DA4" w:rsidRDefault="00F97A0E" w:rsidP="00F97A0E">
      <w:pPr>
        <w:pStyle w:val="ListParagraph"/>
        <w:numPr>
          <w:ilvl w:val="0"/>
          <w:numId w:val="25"/>
        </w:numPr>
      </w:pPr>
      <w:r w:rsidRPr="003D4DA4">
        <w:t>Sélectionnez de six à huit scénarios illustrant une utilisation inappropriée des fonds de subvention à l</w:t>
      </w:r>
      <w:r w:rsidR="00F03D95" w:rsidRPr="003D4DA4">
        <w:t>’</w:t>
      </w:r>
      <w:r w:rsidRPr="003D4DA4">
        <w:t>annexe A du livret d</w:t>
      </w:r>
      <w:r w:rsidR="00F03D95" w:rsidRPr="003D4DA4">
        <w:t>’</w:t>
      </w:r>
      <w:r w:rsidRPr="003D4DA4">
        <w:t>activités.</w:t>
      </w:r>
    </w:p>
    <w:p w14:paraId="6B09D3B8" w14:textId="7ED9A63F" w:rsidR="00F97A0E" w:rsidRPr="003D4DA4" w:rsidRDefault="00EB77C9" w:rsidP="00B11ACE">
      <w:pPr>
        <w:pStyle w:val="ListParagraph"/>
      </w:pPr>
      <w:r w:rsidRPr="003D4DA4">
        <w:t>Si vous utilisez vos propres scénarios, assurez-vous qu</w:t>
      </w:r>
      <w:r w:rsidR="00F03D95" w:rsidRPr="003D4DA4">
        <w:t>’</w:t>
      </w:r>
      <w:r w:rsidRPr="003D4DA4">
        <w:t>il y manque des détails ou qu</w:t>
      </w:r>
      <w:r w:rsidR="00F03D95" w:rsidRPr="003D4DA4">
        <w:t>’</w:t>
      </w:r>
      <w:r w:rsidRPr="003D4DA4">
        <w:t>ils sont ambigus, et qu</w:t>
      </w:r>
      <w:r w:rsidR="00F03D95" w:rsidRPr="003D4DA4">
        <w:t>’</w:t>
      </w:r>
      <w:r w:rsidRPr="003D4DA4">
        <w:t>il n</w:t>
      </w:r>
      <w:r w:rsidR="00F03D95" w:rsidRPr="003D4DA4">
        <w:t>’</w:t>
      </w:r>
      <w:r w:rsidRPr="003D4DA4">
        <w:t>est pas possible de déterminer clairement s</w:t>
      </w:r>
      <w:r w:rsidR="00F03D95" w:rsidRPr="003D4DA4">
        <w:t>’</w:t>
      </w:r>
      <w:r w:rsidRPr="003D4DA4">
        <w:t>il s</w:t>
      </w:r>
      <w:r w:rsidR="00F03D95" w:rsidRPr="003D4DA4">
        <w:t>’</w:t>
      </w:r>
      <w:r w:rsidRPr="003D4DA4">
        <w:t>agit d</w:t>
      </w:r>
      <w:r w:rsidR="00F03D95" w:rsidRPr="003D4DA4">
        <w:t>’</w:t>
      </w:r>
      <w:r w:rsidRPr="003D4DA4">
        <w:t>une utilisation appropriée ou non.</w:t>
      </w:r>
    </w:p>
    <w:p w14:paraId="320FFE2F" w14:textId="403AD476" w:rsidR="00EB77C9" w:rsidRPr="003D4DA4" w:rsidRDefault="00EB77C9" w:rsidP="00B11ACE">
      <w:pPr>
        <w:pStyle w:val="ListParagraph"/>
        <w:numPr>
          <w:ilvl w:val="0"/>
          <w:numId w:val="25"/>
        </w:numPr>
      </w:pPr>
      <w:r w:rsidRPr="003D4DA4">
        <w:lastRenderedPageBreak/>
        <w:t>Préparez et imprimez les six à huit scénarios que vous avez choisis en utilisant les modèles fournis pour l</w:t>
      </w:r>
      <w:r w:rsidR="00F03D95" w:rsidRPr="003D4DA4">
        <w:t>’</w:t>
      </w:r>
      <w:r w:rsidRPr="003D4DA4">
        <w:t>activité 3 – partie 1 à l</w:t>
      </w:r>
      <w:r w:rsidR="00F03D95" w:rsidRPr="003D4DA4">
        <w:t>’</w:t>
      </w:r>
      <w:r w:rsidRPr="003D4DA4">
        <w:t>annexe B.</w:t>
      </w:r>
    </w:p>
    <w:p w14:paraId="7C41F2B3" w14:textId="27CC4AF4" w:rsidR="00C74284" w:rsidRPr="003D4DA4" w:rsidRDefault="00C74284" w:rsidP="00B11ACE">
      <w:pPr>
        <w:pStyle w:val="ListParagraph"/>
        <w:numPr>
          <w:ilvl w:val="0"/>
          <w:numId w:val="25"/>
        </w:numPr>
      </w:pPr>
      <w:r w:rsidRPr="003D4DA4">
        <w:t>Affichez les six à huit scénarios imprimés sur un grand mur ou un tableau blanc.</w:t>
      </w:r>
      <w:r w:rsidRPr="003D4DA4">
        <w:br/>
      </w:r>
    </w:p>
    <w:p w14:paraId="0908C793" w14:textId="476AE0F0" w:rsidR="00C74284" w:rsidRPr="003D4DA4" w:rsidRDefault="00C72ACD" w:rsidP="00537A07">
      <w:pPr>
        <w:pStyle w:val="ListParagraph"/>
        <w:ind w:left="0"/>
        <w:jc w:val="center"/>
        <w:rPr>
          <w:b/>
        </w:rPr>
      </w:pPr>
      <w:r>
        <w:rPr>
          <w:noProof/>
          <w:lang w:val="en-US"/>
        </w:rPr>
        <w:drawing>
          <wp:inline distT="0" distB="0" distL="0" distR="0" wp14:anchorId="7C1DFC89" wp14:editId="256E1FAA">
            <wp:extent cx="3959352" cy="2971800"/>
            <wp:effectExtent l="114300" t="114300" r="117475" b="152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40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59352" cy="2971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4293B57" w14:textId="77777777" w:rsidR="00273C0A" w:rsidRPr="003D4DA4" w:rsidRDefault="00273C0A" w:rsidP="00273C0A">
      <w:pPr>
        <w:pStyle w:val="ListParagraph"/>
      </w:pPr>
    </w:p>
    <w:p w14:paraId="13BB0860" w14:textId="1769F84B" w:rsidR="00F83660" w:rsidRPr="003D4DA4" w:rsidRDefault="00F83660" w:rsidP="00273C0A">
      <w:pPr>
        <w:pStyle w:val="ListParagraph"/>
        <w:numPr>
          <w:ilvl w:val="0"/>
          <w:numId w:val="26"/>
        </w:numPr>
      </w:pPr>
      <w:r w:rsidRPr="003D4DA4">
        <w:t>Pour des directives complètes, reportez-vous à la partie « Activité 3 : Étude de cas » du livret d</w:t>
      </w:r>
      <w:r w:rsidR="00F03D95" w:rsidRPr="003D4DA4">
        <w:t>’</w:t>
      </w:r>
      <w:r w:rsidRPr="003D4DA4">
        <w:t>activités. Des notes à l</w:t>
      </w:r>
      <w:r w:rsidR="00F03D95" w:rsidRPr="003D4DA4">
        <w:t>’</w:t>
      </w:r>
      <w:r w:rsidRPr="003D4DA4">
        <w:t xml:space="preserve">intention des formateurs sont également à votre disposition à </w:t>
      </w:r>
      <w:r w:rsidR="00E04378" w:rsidRPr="003D4DA4">
        <w:t>titre informatif</w:t>
      </w:r>
      <w:r w:rsidRPr="003D4DA4">
        <w:t>.</w:t>
      </w:r>
    </w:p>
    <w:p w14:paraId="4839ABA0" w14:textId="77777777" w:rsidR="00040E65" w:rsidRPr="003D4DA4" w:rsidRDefault="00040E65" w:rsidP="00040E65"/>
    <w:p w14:paraId="6779F1FD" w14:textId="6E830E1B" w:rsidR="007A782E" w:rsidRPr="003D4DA4" w:rsidRDefault="00CF607D" w:rsidP="00CA4F18">
      <w:pPr>
        <w:pStyle w:val="Heading1"/>
      </w:pPr>
      <w:bookmarkStart w:id="13" w:name="_Toc33171577"/>
      <w:r w:rsidRPr="003D4DA4">
        <w:t>Notes pour la prestation</w:t>
      </w:r>
      <w:r w:rsidR="00E04378" w:rsidRPr="003D4DA4">
        <w:t xml:space="preserve"> du cours</w:t>
      </w:r>
      <w:bookmarkEnd w:id="13"/>
    </w:p>
    <w:p w14:paraId="4C456115" w14:textId="7E07C172" w:rsidR="009B4F88" w:rsidRPr="003D4DA4" w:rsidRDefault="00F50B11" w:rsidP="00851725">
      <w:pPr>
        <w:pStyle w:val="Heading2"/>
      </w:pPr>
      <w:bookmarkStart w:id="14" w:name="_Toc33171578"/>
      <w:r w:rsidRPr="003D4DA4">
        <w:t>Approche</w:t>
      </w:r>
      <w:bookmarkEnd w:id="14"/>
      <w:r w:rsidRPr="003D4DA4">
        <w:t xml:space="preserve"> </w:t>
      </w:r>
    </w:p>
    <w:p w14:paraId="01406014" w14:textId="0A952E0D" w:rsidR="00313E56" w:rsidRPr="003D4DA4" w:rsidRDefault="00851725" w:rsidP="00851725">
      <w:r w:rsidRPr="003D4DA4">
        <w:t xml:space="preserve">Le cours a été conçu de manière à </w:t>
      </w:r>
      <w:r w:rsidR="00E04378" w:rsidRPr="003D4DA4">
        <w:t>durer</w:t>
      </w:r>
      <w:r w:rsidRPr="003D4DA4">
        <w:t xml:space="preserve"> de 2,5 à 3 heures. Selon les participants, les activités « Faites travailler vos méninges » sélectionnées et la quantité de contenu propre à l</w:t>
      </w:r>
      <w:r w:rsidR="00F03D95" w:rsidRPr="003D4DA4">
        <w:t>’</w:t>
      </w:r>
      <w:r w:rsidRPr="003D4DA4">
        <w:t>établissement qui est ajoutée au cours, il se peut que le formateur manque de temps pour passer en revue tout le matériel. Pour éviter toute contrainte de temps, le cours pourrait être divisé en deux séances :</w:t>
      </w:r>
    </w:p>
    <w:p w14:paraId="0267BFC9" w14:textId="12ACB633" w:rsidR="00313E56" w:rsidRPr="003D4DA4" w:rsidRDefault="005D046D" w:rsidP="00273C0A">
      <w:pPr>
        <w:pStyle w:val="ListParagraph"/>
        <w:numPr>
          <w:ilvl w:val="0"/>
          <w:numId w:val="27"/>
        </w:numPr>
      </w:pPr>
      <w:r w:rsidRPr="003D4DA4">
        <w:t>Parties</w:t>
      </w:r>
      <w:r w:rsidR="00313E56" w:rsidRPr="003D4DA4">
        <w:t> 1 à 3, avec les activités « Faites travailler vos méninges » 1 ou 2;</w:t>
      </w:r>
    </w:p>
    <w:p w14:paraId="1DB13EC5" w14:textId="673A2BFB" w:rsidR="00313E56" w:rsidRPr="003D4DA4" w:rsidRDefault="005D046D" w:rsidP="00273C0A">
      <w:pPr>
        <w:pStyle w:val="ListParagraph"/>
        <w:numPr>
          <w:ilvl w:val="0"/>
          <w:numId w:val="27"/>
        </w:numPr>
      </w:pPr>
      <w:r w:rsidRPr="003D4DA4">
        <w:t>Parties</w:t>
      </w:r>
      <w:r w:rsidR="00313E56" w:rsidRPr="003D4DA4">
        <w:t> 4 et 5, avec une</w:t>
      </w:r>
      <w:r w:rsidR="00537A07">
        <w:t xml:space="preserve"> ou toutes les </w:t>
      </w:r>
      <w:r w:rsidR="00313E56" w:rsidRPr="003D4DA4">
        <w:t>activité</w:t>
      </w:r>
      <w:r w:rsidR="00537A07">
        <w:t>s</w:t>
      </w:r>
      <w:r w:rsidR="00313E56" w:rsidRPr="003D4DA4">
        <w:t xml:space="preserve"> « F</w:t>
      </w:r>
      <w:r w:rsidR="00537A07">
        <w:t>aites travailler vos méninges ».</w:t>
      </w:r>
    </w:p>
    <w:p w14:paraId="443A7601" w14:textId="360688FE" w:rsidR="00915104" w:rsidRPr="003D4DA4" w:rsidRDefault="00851725" w:rsidP="00851725">
      <w:r w:rsidRPr="003D4DA4">
        <w:t>Quelle que soit l</w:t>
      </w:r>
      <w:r w:rsidR="00F03D95" w:rsidRPr="003D4DA4">
        <w:t>’</w:t>
      </w:r>
      <w:r w:rsidRPr="003D4DA4">
        <w:t>approche :</w:t>
      </w:r>
    </w:p>
    <w:p w14:paraId="26DAC15D" w14:textId="50C54D79" w:rsidR="00915104" w:rsidRPr="003D4DA4" w:rsidRDefault="005D046D" w:rsidP="00273C0A">
      <w:pPr>
        <w:pStyle w:val="ListParagraph"/>
        <w:numPr>
          <w:ilvl w:val="0"/>
          <w:numId w:val="28"/>
        </w:numPr>
      </w:pPr>
      <w:r>
        <w:t>L</w:t>
      </w:r>
      <w:r w:rsidR="00915104" w:rsidRPr="003D4DA4">
        <w:t xml:space="preserve">e formateur est fortement encouragé à </w:t>
      </w:r>
      <w:r w:rsidR="00E04378" w:rsidRPr="003D4DA4">
        <w:t xml:space="preserve">présenter </w:t>
      </w:r>
      <w:r w:rsidR="00915104" w:rsidRPr="003D4DA4">
        <w:t>les parties 1 à 3 du cours dans leur intégralité (c.-à-d. sans supprimer de contenu);</w:t>
      </w:r>
    </w:p>
    <w:p w14:paraId="4C14DFCA" w14:textId="7142F519" w:rsidR="00851725" w:rsidRPr="003D4DA4" w:rsidRDefault="005D046D" w:rsidP="00273C0A">
      <w:pPr>
        <w:pStyle w:val="ListParagraph"/>
        <w:numPr>
          <w:ilvl w:val="0"/>
          <w:numId w:val="28"/>
        </w:numPr>
      </w:pPr>
      <w:r w:rsidRPr="003D4DA4">
        <w:t>Une</w:t>
      </w:r>
      <w:r w:rsidR="00915104" w:rsidRPr="003D4DA4">
        <w:t xml:space="preserve"> pause doit être accordée en cours de route.</w:t>
      </w:r>
    </w:p>
    <w:p w14:paraId="655FE1E3" w14:textId="2EFA28F6" w:rsidR="009B4F88" w:rsidRPr="003D4DA4" w:rsidRDefault="00537A07" w:rsidP="00851725">
      <w:r>
        <w:lastRenderedPageBreak/>
        <w:t xml:space="preserve">Pour livrer une </w:t>
      </w:r>
      <w:r w:rsidR="00915104" w:rsidRPr="003D4DA4">
        <w:t>version abrégée du cours, le formateur devrait donner un aperçu des parties 1 à 3 et remplacer les activités « Faites travailler vos méninges » par des exemples et des études de cas.</w:t>
      </w:r>
    </w:p>
    <w:p w14:paraId="2A69B05C" w14:textId="0055FA39" w:rsidR="009B4F88" w:rsidRPr="003D4DA4" w:rsidRDefault="00D35DDC" w:rsidP="00D35DDC">
      <w:pPr>
        <w:pStyle w:val="Heading2"/>
      </w:pPr>
      <w:bookmarkStart w:id="15" w:name="_Toc33171579"/>
      <w:r w:rsidRPr="003D4DA4">
        <w:t>Nombre de participants aux séances</w:t>
      </w:r>
      <w:bookmarkEnd w:id="15"/>
      <w:r w:rsidRPr="003D4DA4">
        <w:t xml:space="preserve"> </w:t>
      </w:r>
    </w:p>
    <w:p w14:paraId="339F8CAB" w14:textId="7420BC6C" w:rsidR="00D35DDC" w:rsidRPr="003D4DA4" w:rsidRDefault="00D35DDC" w:rsidP="00851725">
      <w:r w:rsidRPr="003D4DA4">
        <w:t xml:space="preserve">Le cours a été conçu de manière à accueillir facilement de cinq à vingt participants par séance. Une séance avec </w:t>
      </w:r>
      <w:r w:rsidR="00537A07">
        <w:t xml:space="preserve">plus de </w:t>
      </w:r>
      <w:r w:rsidRPr="003D4DA4">
        <w:t xml:space="preserve">vingt participants peut être organisée, mais cela pourrait </w:t>
      </w:r>
      <w:r w:rsidR="00E04378" w:rsidRPr="003D4DA4">
        <w:t xml:space="preserve">nuire à </w:t>
      </w:r>
      <w:r w:rsidRPr="003D4DA4">
        <w:t>l</w:t>
      </w:r>
      <w:r w:rsidR="00F03D95" w:rsidRPr="003D4DA4">
        <w:t>’</w:t>
      </w:r>
      <w:r w:rsidRPr="003D4DA4">
        <w:t xml:space="preserve">interactivité </w:t>
      </w:r>
      <w:r w:rsidR="00E04378" w:rsidRPr="003D4DA4">
        <w:t xml:space="preserve">du cours </w:t>
      </w:r>
      <w:r w:rsidRPr="003D4DA4">
        <w:t xml:space="preserve">et </w:t>
      </w:r>
      <w:r w:rsidR="00E04378" w:rsidRPr="003D4DA4">
        <w:t>à</w:t>
      </w:r>
      <w:r w:rsidRPr="003D4DA4">
        <w:t xml:space="preserve"> l</w:t>
      </w:r>
      <w:r w:rsidR="00F03D95" w:rsidRPr="003D4DA4">
        <w:t>’</w:t>
      </w:r>
      <w:r w:rsidRPr="003D4DA4">
        <w:t>expérience d</w:t>
      </w:r>
      <w:r w:rsidR="00F03D95" w:rsidRPr="003D4DA4">
        <w:t>’</w:t>
      </w:r>
      <w:r w:rsidRPr="003D4DA4">
        <w:t>apprentissage.</w:t>
      </w:r>
    </w:p>
    <w:p w14:paraId="0AE44E65" w14:textId="5D241B4A" w:rsidR="009B4F88" w:rsidRPr="003D4DA4" w:rsidRDefault="002B757F" w:rsidP="00851725">
      <w:r w:rsidRPr="003D4DA4">
        <w:t>Des versions abrégées du cours (c.-à-d. sans activités « Faites travailler vos méninges ») pourraient représenter une solution pour tenir des séances avec un nombre plus élevé de participants.</w:t>
      </w:r>
    </w:p>
    <w:p w14:paraId="73A03D19" w14:textId="6D86B8ED" w:rsidR="009B4F88" w:rsidRPr="003D4DA4" w:rsidRDefault="00D35DDC" w:rsidP="00D35DDC">
      <w:pPr>
        <w:pStyle w:val="Heading2"/>
      </w:pPr>
      <w:bookmarkStart w:id="16" w:name="_Toc33171580"/>
      <w:r w:rsidRPr="003D4DA4">
        <w:t>Taille des groupes pour les activités « Faites travailler vos méninges »</w:t>
      </w:r>
      <w:bookmarkEnd w:id="16"/>
    </w:p>
    <w:p w14:paraId="047174EE" w14:textId="3FE0A0D4" w:rsidR="00D35DDC" w:rsidRDefault="00D35DDC">
      <w:r w:rsidRPr="003D4DA4">
        <w:t>Les activités « Faites travailler vos méninges » peuvent être réalisées en petits et en grands groupes. Dans les cas où les connaissances et l</w:t>
      </w:r>
      <w:r w:rsidR="00F03D95" w:rsidRPr="003D4DA4">
        <w:t>’</w:t>
      </w:r>
      <w:r w:rsidRPr="003D4DA4">
        <w:t>expérience des participants sont limitées ou variées en ce qui concerne l</w:t>
      </w:r>
      <w:r w:rsidR="00F03D95" w:rsidRPr="003D4DA4">
        <w:t>’</w:t>
      </w:r>
      <w:r w:rsidRPr="003D4DA4">
        <w:t>administration des fonds de subvention, une séance en grand groupe pourrait mieux convenir. Inversement, les participants chevronnés pourraient bénéficier davantage d</w:t>
      </w:r>
      <w:r w:rsidR="00F03D95" w:rsidRPr="003D4DA4">
        <w:t>’</w:t>
      </w:r>
      <w:r w:rsidRPr="003D4DA4">
        <w:t>une séance en petits groupes.</w:t>
      </w:r>
    </w:p>
    <w:p w14:paraId="2786CB12" w14:textId="02F3C43A" w:rsidR="00026397" w:rsidRPr="003D4DA4" w:rsidRDefault="00026397">
      <w:r w:rsidRPr="00026397">
        <w:t>Pour les activités 1 et 2, vous êtes encouragés à ne conserver que les diapositives qui ont été développées pour un format de petit ou grand groupe, selon la méthode de diffusion choisie. Les autres peuvent être retirées.</w:t>
      </w:r>
    </w:p>
    <w:p w14:paraId="0F9F7E45" w14:textId="2A28B124" w:rsidR="006646A4" w:rsidRPr="003D4DA4" w:rsidRDefault="00F50B11" w:rsidP="006646A4">
      <w:pPr>
        <w:pStyle w:val="Heading2"/>
      </w:pPr>
      <w:bookmarkStart w:id="17" w:name="_Toc33171581"/>
      <w:r w:rsidRPr="003D4DA4">
        <w:t>Application des principes</w:t>
      </w:r>
      <w:bookmarkEnd w:id="17"/>
    </w:p>
    <w:p w14:paraId="74BBCC32" w14:textId="068CA5D6" w:rsidR="006646A4" w:rsidRPr="003D4DA4" w:rsidRDefault="006646A4" w:rsidP="006646A4">
      <w:r w:rsidRPr="003D4DA4">
        <w:t>Les énoncés suivants faciliteront les discussions entre le formateur et les participants au sujet de la pertinence de l</w:t>
      </w:r>
      <w:r w:rsidR="00F03D95" w:rsidRPr="003D4DA4">
        <w:t>’</w:t>
      </w:r>
      <w:r w:rsidRPr="003D4DA4">
        <w:t>utilisation des fonds de subvention.</w:t>
      </w:r>
    </w:p>
    <w:p w14:paraId="63957DAB" w14:textId="0CEF96BA" w:rsidR="009B4F88" w:rsidRPr="003D4DA4" w:rsidRDefault="001E72C1" w:rsidP="006646A4">
      <w:pPr>
        <w:pStyle w:val="Heading3"/>
      </w:pPr>
      <w:bookmarkStart w:id="18" w:name="_Toc33171582"/>
      <w:r w:rsidRPr="003D4DA4">
        <w:rPr>
          <w:lang w:val="fr-FR"/>
        </w:rPr>
        <w:t>Qu</w:t>
      </w:r>
      <w:r w:rsidR="00F03D95" w:rsidRPr="003D4DA4">
        <w:rPr>
          <w:lang w:val="fr-FR"/>
        </w:rPr>
        <w:t>’</w:t>
      </w:r>
      <w:r w:rsidRPr="003D4DA4">
        <w:rPr>
          <w:lang w:val="fr-FR"/>
        </w:rPr>
        <w:t>est-ce qui fait qu</w:t>
      </w:r>
      <w:r w:rsidR="00F03D95" w:rsidRPr="003D4DA4">
        <w:rPr>
          <w:lang w:val="fr-FR"/>
        </w:rPr>
        <w:t>’</w:t>
      </w:r>
      <w:r w:rsidRPr="003D4DA4">
        <w:rPr>
          <w:lang w:val="fr-FR"/>
        </w:rPr>
        <w:t>une dépense est «</w:t>
      </w:r>
      <w:r w:rsidR="00B57162" w:rsidRPr="003D4DA4">
        <w:rPr>
          <w:lang w:val="fr-FR"/>
        </w:rPr>
        <w:t> </w:t>
      </w:r>
      <w:r w:rsidRPr="003D4DA4">
        <w:rPr>
          <w:lang w:val="fr-FR"/>
        </w:rPr>
        <w:t>efficace et judicieuse</w:t>
      </w:r>
      <w:r w:rsidR="00B57162" w:rsidRPr="003D4DA4">
        <w:rPr>
          <w:lang w:val="fr-FR"/>
        </w:rPr>
        <w:t> </w:t>
      </w:r>
      <w:r w:rsidRPr="003D4DA4">
        <w:rPr>
          <w:lang w:val="fr-FR"/>
        </w:rPr>
        <w:t>»?</w:t>
      </w:r>
      <w:bookmarkEnd w:id="18"/>
    </w:p>
    <w:p w14:paraId="7902EB59" w14:textId="43548E4B" w:rsidR="009B4F88" w:rsidRPr="003D4DA4" w:rsidRDefault="001E72C1" w:rsidP="001E72C1">
      <w:pPr>
        <w:autoSpaceDE w:val="0"/>
        <w:autoSpaceDN w:val="0"/>
        <w:adjustRightInd w:val="0"/>
        <w:spacing w:after="0" w:line="240" w:lineRule="auto"/>
        <w:rPr>
          <w:rFonts w:ascii="Calibri" w:hAnsi="Calibri" w:cs="Calibri"/>
          <w:kern w:val="24"/>
        </w:rPr>
      </w:pPr>
      <w:r w:rsidRPr="003D4DA4">
        <w:rPr>
          <w:rFonts w:ascii="Calibri" w:hAnsi="Calibri"/>
          <w:lang w:val="fr-FR"/>
        </w:rPr>
        <w:t>Une dépense est considérée comme «</w:t>
      </w:r>
      <w:r w:rsidR="00B57162" w:rsidRPr="003D4DA4">
        <w:rPr>
          <w:rFonts w:ascii="Calibri" w:hAnsi="Calibri"/>
          <w:lang w:val="fr-FR"/>
        </w:rPr>
        <w:t> </w:t>
      </w:r>
      <w:r w:rsidRPr="003D4DA4">
        <w:rPr>
          <w:rFonts w:ascii="Calibri" w:hAnsi="Calibri"/>
          <w:lang w:val="fr-FR"/>
        </w:rPr>
        <w:t>efficace et judicieuse</w:t>
      </w:r>
      <w:r w:rsidR="00B57162" w:rsidRPr="003D4DA4">
        <w:rPr>
          <w:rFonts w:ascii="Calibri" w:hAnsi="Calibri"/>
          <w:lang w:val="fr-FR"/>
        </w:rPr>
        <w:t> </w:t>
      </w:r>
      <w:r w:rsidRPr="003D4DA4">
        <w:rPr>
          <w:rFonts w:ascii="Calibri" w:hAnsi="Calibri"/>
          <w:lang w:val="fr-FR"/>
        </w:rPr>
        <w:t>» lorsqu</w:t>
      </w:r>
      <w:r w:rsidR="00F03D95" w:rsidRPr="003D4DA4">
        <w:rPr>
          <w:rFonts w:ascii="Calibri" w:hAnsi="Calibri"/>
          <w:lang w:val="fr-FR"/>
        </w:rPr>
        <w:t>’</w:t>
      </w:r>
      <w:r w:rsidRPr="003D4DA4">
        <w:rPr>
          <w:rFonts w:ascii="Calibri" w:hAnsi="Calibri"/>
          <w:lang w:val="fr-FR"/>
        </w:rPr>
        <w:t>elle permet d</w:t>
      </w:r>
      <w:r w:rsidR="00F03D95" w:rsidRPr="003D4DA4">
        <w:rPr>
          <w:rFonts w:ascii="Calibri" w:hAnsi="Calibri"/>
          <w:lang w:val="fr-FR"/>
        </w:rPr>
        <w:t>’</w:t>
      </w:r>
      <w:r w:rsidRPr="003D4DA4">
        <w:rPr>
          <w:rFonts w:ascii="Calibri" w:hAnsi="Calibri"/>
          <w:lang w:val="fr-FR"/>
        </w:rPr>
        <w:t>atteindre les résultats désirés en prenant soin de limiter les coûts par l</w:t>
      </w:r>
      <w:r w:rsidR="00F03D95" w:rsidRPr="003D4DA4">
        <w:rPr>
          <w:rFonts w:ascii="Calibri" w:hAnsi="Calibri"/>
          <w:lang w:val="fr-FR"/>
        </w:rPr>
        <w:t>’</w:t>
      </w:r>
      <w:r w:rsidRPr="003D4DA4">
        <w:rPr>
          <w:rFonts w:ascii="Calibri" w:hAnsi="Calibri"/>
          <w:lang w:val="fr-FR"/>
        </w:rPr>
        <w:t xml:space="preserve">évitement des dépenses </w:t>
      </w:r>
      <w:r w:rsidRPr="003D4DA4">
        <w:rPr>
          <w:rFonts w:ascii="Calibri" w:hAnsi="Calibri"/>
          <w:i/>
          <w:lang w:val="fr-FR"/>
        </w:rPr>
        <w:t>inutiles</w:t>
      </w:r>
      <w:r w:rsidRPr="003D4DA4">
        <w:rPr>
          <w:rFonts w:ascii="Calibri" w:hAnsi="Calibri"/>
          <w:lang w:val="fr-FR"/>
        </w:rPr>
        <w:t>. Il s</w:t>
      </w:r>
      <w:r w:rsidR="00F03D95" w:rsidRPr="003D4DA4">
        <w:rPr>
          <w:rFonts w:ascii="Calibri" w:hAnsi="Calibri"/>
          <w:lang w:val="fr-FR"/>
        </w:rPr>
        <w:t>’</w:t>
      </w:r>
      <w:r w:rsidRPr="003D4DA4">
        <w:rPr>
          <w:rFonts w:ascii="Calibri" w:hAnsi="Calibri"/>
          <w:lang w:val="fr-FR"/>
        </w:rPr>
        <w:t>agit donc d</w:t>
      </w:r>
      <w:r w:rsidR="00F03D95" w:rsidRPr="003D4DA4">
        <w:rPr>
          <w:rFonts w:ascii="Calibri" w:hAnsi="Calibri"/>
          <w:lang w:val="fr-FR"/>
        </w:rPr>
        <w:t>’</w:t>
      </w:r>
      <w:r w:rsidRPr="003D4DA4">
        <w:rPr>
          <w:rFonts w:ascii="Calibri" w:hAnsi="Calibri"/>
          <w:lang w:val="fr-FR"/>
        </w:rPr>
        <w:t>envisager les dépenses dans une optique d</w:t>
      </w:r>
      <w:r w:rsidR="00F03D95" w:rsidRPr="003D4DA4">
        <w:rPr>
          <w:rFonts w:ascii="Calibri" w:hAnsi="Calibri"/>
          <w:lang w:val="fr-FR"/>
        </w:rPr>
        <w:t>’</w:t>
      </w:r>
      <w:r w:rsidRPr="003D4DA4">
        <w:rPr>
          <w:rFonts w:ascii="Calibri" w:hAnsi="Calibri"/>
          <w:lang w:val="fr-FR"/>
        </w:rPr>
        <w:t>utilisation optimale des fonds, ce qui ne signifie pas nécessairement le «</w:t>
      </w:r>
      <w:r w:rsidR="00B57162" w:rsidRPr="003D4DA4">
        <w:rPr>
          <w:rFonts w:ascii="Calibri" w:hAnsi="Calibri"/>
          <w:lang w:val="fr-FR"/>
        </w:rPr>
        <w:t> </w:t>
      </w:r>
      <w:r w:rsidRPr="003D4DA4">
        <w:rPr>
          <w:rFonts w:ascii="Calibri" w:hAnsi="Calibri"/>
          <w:lang w:val="fr-FR"/>
        </w:rPr>
        <w:t>coût le plus bas</w:t>
      </w:r>
      <w:r w:rsidR="00B57162" w:rsidRPr="003D4DA4">
        <w:rPr>
          <w:rFonts w:ascii="Calibri" w:hAnsi="Calibri"/>
          <w:lang w:val="fr-FR"/>
        </w:rPr>
        <w:t> </w:t>
      </w:r>
      <w:r w:rsidRPr="003D4DA4">
        <w:rPr>
          <w:rFonts w:ascii="Calibri" w:hAnsi="Calibri"/>
          <w:lang w:val="fr-FR"/>
        </w:rPr>
        <w:t>».</w:t>
      </w:r>
    </w:p>
    <w:p w14:paraId="6315345A" w14:textId="77777777" w:rsidR="00F50B11" w:rsidRPr="003D4DA4" w:rsidRDefault="00F50B11" w:rsidP="009B4F88">
      <w:pPr>
        <w:autoSpaceDE w:val="0"/>
        <w:autoSpaceDN w:val="0"/>
        <w:adjustRightInd w:val="0"/>
        <w:spacing w:after="0" w:line="240" w:lineRule="auto"/>
        <w:rPr>
          <w:rFonts w:ascii="Calibri" w:hAnsi="Calibri" w:cs="Calibri"/>
          <w:kern w:val="24"/>
          <w:lang w:val="fr-FR"/>
        </w:rPr>
      </w:pPr>
    </w:p>
    <w:p w14:paraId="000BBA8F" w14:textId="692DEF21" w:rsidR="009B4F88" w:rsidRPr="003D4DA4" w:rsidRDefault="001E72C1" w:rsidP="009B4F88">
      <w:pPr>
        <w:autoSpaceDE w:val="0"/>
        <w:autoSpaceDN w:val="0"/>
        <w:adjustRightInd w:val="0"/>
        <w:spacing w:after="0" w:line="240" w:lineRule="auto"/>
        <w:rPr>
          <w:rFonts w:ascii="Calibri" w:hAnsi="Calibri" w:cs="Calibri"/>
          <w:kern w:val="24"/>
          <w:sz w:val="24"/>
          <w:szCs w:val="24"/>
        </w:rPr>
      </w:pPr>
      <w:r w:rsidRPr="003D4DA4">
        <w:rPr>
          <w:rFonts w:ascii="Calibri" w:hAnsi="Calibri"/>
          <w:lang w:val="fr-FR"/>
        </w:rPr>
        <w:t>Par exemple, une dépense inutile peut survenir quand un article ou un service, peu importe son coût, ne permet pas d</w:t>
      </w:r>
      <w:r w:rsidR="00F03D95" w:rsidRPr="003D4DA4">
        <w:rPr>
          <w:rFonts w:ascii="Calibri" w:hAnsi="Calibri"/>
          <w:lang w:val="fr-FR"/>
        </w:rPr>
        <w:t>’</w:t>
      </w:r>
      <w:r w:rsidRPr="003D4DA4">
        <w:rPr>
          <w:rFonts w:ascii="Calibri" w:hAnsi="Calibri"/>
          <w:lang w:val="fr-FR"/>
        </w:rPr>
        <w:t>atteindre efficacement le résultat désiré (c</w:t>
      </w:r>
      <w:r w:rsidR="00F03D95" w:rsidRPr="003D4DA4">
        <w:rPr>
          <w:rFonts w:ascii="Calibri" w:hAnsi="Calibri"/>
          <w:lang w:val="fr-FR"/>
        </w:rPr>
        <w:t>’</w:t>
      </w:r>
      <w:r w:rsidRPr="003D4DA4">
        <w:rPr>
          <w:rFonts w:ascii="Calibri" w:hAnsi="Calibri"/>
          <w:lang w:val="fr-FR"/>
        </w:rPr>
        <w:t>est-à-dire qu</w:t>
      </w:r>
      <w:r w:rsidR="00F03D95" w:rsidRPr="003D4DA4">
        <w:rPr>
          <w:rFonts w:ascii="Calibri" w:hAnsi="Calibri"/>
          <w:lang w:val="fr-FR"/>
        </w:rPr>
        <w:t>’</w:t>
      </w:r>
      <w:r w:rsidRPr="003D4DA4">
        <w:rPr>
          <w:rFonts w:ascii="Calibri" w:hAnsi="Calibri"/>
          <w:lang w:val="fr-FR"/>
        </w:rPr>
        <w:t>il en découle un fardeau indu sur les activités financées comme des retards, des dépenses supplémentaires, des pertes de temps ou d</w:t>
      </w:r>
      <w:r w:rsidR="00F03D95" w:rsidRPr="003D4DA4">
        <w:rPr>
          <w:rFonts w:ascii="Calibri" w:hAnsi="Calibri"/>
          <w:lang w:val="fr-FR"/>
        </w:rPr>
        <w:t>’</w:t>
      </w:r>
      <w:r w:rsidRPr="003D4DA4">
        <w:rPr>
          <w:rFonts w:ascii="Calibri" w:hAnsi="Calibri"/>
          <w:lang w:val="fr-FR"/>
        </w:rPr>
        <w:t>efforts en raison de la lourdeur du fardeau administratif).</w:t>
      </w:r>
      <w:r w:rsidRPr="003D4DA4">
        <w:rPr>
          <w:rFonts w:ascii="Calibri" w:hAnsi="Calibri"/>
          <w:sz w:val="24"/>
          <w:szCs w:val="24"/>
          <w:lang w:val="fr-FR"/>
        </w:rPr>
        <w:br/>
      </w:r>
    </w:p>
    <w:p w14:paraId="5D00B1ED" w14:textId="44232344" w:rsidR="009B4F88" w:rsidRPr="003D4DA4" w:rsidRDefault="00ED002C" w:rsidP="006646A4">
      <w:pPr>
        <w:pStyle w:val="Heading3"/>
      </w:pPr>
      <w:bookmarkStart w:id="19" w:name="_Toc33171583"/>
      <w:r w:rsidRPr="003D4DA4">
        <w:rPr>
          <w:lang w:val="fr-FR"/>
        </w:rPr>
        <w:t>Comment les trois organismes définissent-ils «</w:t>
      </w:r>
      <w:r w:rsidR="00B57162" w:rsidRPr="003D4DA4">
        <w:rPr>
          <w:lang w:val="fr-FR"/>
        </w:rPr>
        <w:t> </w:t>
      </w:r>
      <w:r w:rsidRPr="003D4DA4">
        <w:rPr>
          <w:lang w:val="fr-FR"/>
        </w:rPr>
        <w:t>profit personnel</w:t>
      </w:r>
      <w:r w:rsidR="00B57162" w:rsidRPr="003D4DA4">
        <w:rPr>
          <w:lang w:val="fr-FR"/>
        </w:rPr>
        <w:t> </w:t>
      </w:r>
      <w:r w:rsidRPr="003D4DA4">
        <w:rPr>
          <w:lang w:val="fr-FR"/>
        </w:rPr>
        <w:t>»?</w:t>
      </w:r>
      <w:bookmarkEnd w:id="19"/>
    </w:p>
    <w:p w14:paraId="7EB6B0DB" w14:textId="1E4AB7BB" w:rsidR="009B4F88" w:rsidRPr="00C82769" w:rsidRDefault="00ED002C" w:rsidP="009B4F88">
      <w:pPr>
        <w:autoSpaceDE w:val="0"/>
        <w:autoSpaceDN w:val="0"/>
        <w:adjustRightInd w:val="0"/>
        <w:spacing w:after="0" w:line="240" w:lineRule="auto"/>
        <w:rPr>
          <w:rFonts w:ascii="Calibri" w:hAnsi="Calibri" w:cs="Calibri"/>
          <w:kern w:val="24"/>
        </w:rPr>
      </w:pPr>
      <w:r w:rsidRPr="003D4DA4">
        <w:rPr>
          <w:rFonts w:ascii="Calibri" w:hAnsi="Calibri"/>
          <w:lang w:val="fr-FR"/>
        </w:rPr>
        <w:t>La notion de «</w:t>
      </w:r>
      <w:r w:rsidR="00B57162" w:rsidRPr="003D4DA4">
        <w:rPr>
          <w:rFonts w:ascii="Calibri" w:hAnsi="Calibri"/>
          <w:lang w:val="fr-FR"/>
        </w:rPr>
        <w:t> </w:t>
      </w:r>
      <w:r w:rsidRPr="003D4DA4">
        <w:rPr>
          <w:rFonts w:ascii="Calibri" w:hAnsi="Calibri"/>
          <w:lang w:val="fr-FR"/>
        </w:rPr>
        <w:t>profit personnel</w:t>
      </w:r>
      <w:r w:rsidR="00B57162" w:rsidRPr="003D4DA4">
        <w:rPr>
          <w:rFonts w:ascii="Calibri" w:hAnsi="Calibri"/>
          <w:lang w:val="fr-FR"/>
        </w:rPr>
        <w:t> </w:t>
      </w:r>
      <w:r w:rsidRPr="003D4DA4">
        <w:rPr>
          <w:rFonts w:ascii="Calibri" w:hAnsi="Calibri"/>
          <w:lang w:val="fr-FR"/>
        </w:rPr>
        <w:t>» renvoie à l</w:t>
      </w:r>
      <w:r w:rsidR="00F03D95" w:rsidRPr="003D4DA4">
        <w:rPr>
          <w:rFonts w:ascii="Calibri" w:hAnsi="Calibri"/>
          <w:lang w:val="fr-FR"/>
        </w:rPr>
        <w:t>’</w:t>
      </w:r>
      <w:r w:rsidRPr="003D4DA4">
        <w:rPr>
          <w:rFonts w:ascii="Calibri" w:hAnsi="Calibri"/>
          <w:lang w:val="fr-FR"/>
        </w:rPr>
        <w:t>utilisation d</w:t>
      </w:r>
      <w:r w:rsidR="00F03D95" w:rsidRPr="003D4DA4">
        <w:rPr>
          <w:rFonts w:ascii="Calibri" w:hAnsi="Calibri"/>
          <w:lang w:val="fr-FR"/>
        </w:rPr>
        <w:t>’</w:t>
      </w:r>
      <w:r w:rsidRPr="003D4DA4">
        <w:rPr>
          <w:rFonts w:ascii="Calibri" w:hAnsi="Calibri"/>
          <w:lang w:val="fr-FR"/>
        </w:rPr>
        <w:t>une subvention pour servir les intérêts d</w:t>
      </w:r>
      <w:r w:rsidR="00F03D95" w:rsidRPr="003D4DA4">
        <w:rPr>
          <w:rFonts w:ascii="Calibri" w:hAnsi="Calibri"/>
          <w:lang w:val="fr-FR"/>
        </w:rPr>
        <w:t>’</w:t>
      </w:r>
      <w:r w:rsidRPr="003D4DA4">
        <w:rPr>
          <w:rFonts w:ascii="Calibri" w:hAnsi="Calibri"/>
          <w:lang w:val="fr-FR"/>
        </w:rPr>
        <w:t>une personne ou obtenir un avantage personnel ou un profit qui l</w:t>
      </w:r>
      <w:r w:rsidR="00F03D95" w:rsidRPr="003D4DA4">
        <w:rPr>
          <w:rFonts w:ascii="Calibri" w:hAnsi="Calibri"/>
          <w:lang w:val="fr-FR"/>
        </w:rPr>
        <w:t>’</w:t>
      </w:r>
      <w:r w:rsidRPr="003D4DA4">
        <w:rPr>
          <w:rFonts w:ascii="Calibri" w:hAnsi="Calibri"/>
          <w:lang w:val="fr-FR"/>
        </w:rPr>
        <w:t>emporte sur les avantages pour la recherche ou les activités financées par la subvention.</w:t>
      </w:r>
    </w:p>
    <w:p w14:paraId="41ABAE48" w14:textId="77777777" w:rsidR="00CF607D" w:rsidRPr="00FB1D2C" w:rsidRDefault="00CF607D" w:rsidP="00CF607D">
      <w:pPr>
        <w:rPr>
          <w:lang w:val="fr-FR"/>
        </w:rPr>
      </w:pPr>
    </w:p>
    <w:sectPr w:rsidR="00CF607D" w:rsidRPr="00FB1D2C" w:rsidSect="00F96B15">
      <w:headerReference w:type="default" r:id="rId18"/>
      <w:footerReference w:type="default" r:id="rId19"/>
      <w:headerReference w:type="first" r:id="rId20"/>
      <w:footerReference w:type="first" r:id="rId21"/>
      <w:pgSz w:w="12240" w:h="15840"/>
      <w:pgMar w:top="1440" w:right="1440" w:bottom="1440" w:left="1440" w:header="720" w:footer="54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7406" w14:textId="77777777" w:rsidR="00173E14" w:rsidRDefault="00173E14" w:rsidP="007A782E">
      <w:pPr>
        <w:spacing w:after="0" w:line="240" w:lineRule="auto"/>
      </w:pPr>
      <w:r>
        <w:separator/>
      </w:r>
    </w:p>
  </w:endnote>
  <w:endnote w:type="continuationSeparator" w:id="0">
    <w:p w14:paraId="2730DED2" w14:textId="77777777" w:rsidR="00173E14" w:rsidRDefault="00173E14" w:rsidP="007A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184972273"/>
      <w:docPartObj>
        <w:docPartGallery w:val="Page Numbers (Bottom of Page)"/>
        <w:docPartUnique/>
      </w:docPartObj>
    </w:sdtPr>
    <w:sdtEndPr/>
    <w:sdtContent>
      <w:sdt>
        <w:sdtPr>
          <w:rPr>
            <w:color w:val="FFFFFF" w:themeColor="background1"/>
          </w:rPr>
          <w:id w:val="1728636285"/>
          <w:docPartObj>
            <w:docPartGallery w:val="Page Numbers (Top of Page)"/>
            <w:docPartUnique/>
          </w:docPartObj>
        </w:sdtPr>
        <w:sdtEndPr/>
        <w:sdtContent>
          <w:sdt>
            <w:sdtPr>
              <w:rPr>
                <w:color w:val="FFFFFF" w:themeColor="background1"/>
              </w:rPr>
              <w:id w:val="1538392679"/>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14:paraId="2702AA7E" w14:textId="1153170D" w:rsidR="00C6640D" w:rsidRPr="007A782E" w:rsidRDefault="00C6640D" w:rsidP="00040E65">
                    <w:pPr>
                      <w:pStyle w:val="Footer"/>
                      <w:jc w:val="center"/>
                      <w:rPr>
                        <w:color w:val="FFFFFF" w:themeColor="background1"/>
                      </w:rPr>
                    </w:pPr>
                    <w:r>
                      <w:rPr>
                        <w:noProof/>
                        <w:color w:val="FFFFFF" w:themeColor="background1"/>
                        <w:lang w:val="en-US"/>
                      </w:rPr>
                      <mc:AlternateContent>
                        <mc:Choice Requires="wps">
                          <w:drawing>
                            <wp:anchor distT="0" distB="0" distL="114300" distR="114300" simplePos="0" relativeHeight="251664384" behindDoc="1" locked="0" layoutInCell="1" allowOverlap="1" wp14:anchorId="59BB7FDC" wp14:editId="0925034D">
                              <wp:simplePos x="0" y="0"/>
                              <wp:positionH relativeFrom="page">
                                <wp:posOffset>151765</wp:posOffset>
                              </wp:positionH>
                              <wp:positionV relativeFrom="page">
                                <wp:posOffset>9293225</wp:posOffset>
                              </wp:positionV>
                              <wp:extent cx="7315200" cy="309880"/>
                              <wp:effectExtent l="0" t="0" r="0" b="0"/>
                              <wp:wrapNone/>
                              <wp:docPr id="4" name="Rectangle 3"/>
                              <wp:cNvGraphicFramePr/>
                              <a:graphic xmlns:a="http://schemas.openxmlformats.org/drawingml/2006/main">
                                <a:graphicData uri="http://schemas.microsoft.com/office/word/2010/wordprocessingShape">
                                  <wps:wsp>
                                    <wps:cNvSpPr/>
                                    <wps:spPr>
                                      <a:xfrm>
                                        <a:off x="0" y="0"/>
                                        <a:ext cx="7315200" cy="309880"/>
                                      </a:xfrm>
                                      <a:prstGeom prst="rect">
                                        <a:avLst/>
                                      </a:prstGeom>
                                      <a:solidFill>
                                        <a:srgbClr val="05529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FA3764" id="Rectangle 3" o:spid="_x0000_s1026" style="position:absolute;margin-left:11.95pt;margin-top:731.75pt;width:8in;height:24.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" fillcolor="#05529b" stroked="f" strokeweight="1pt">
                              <w10:wrap anchorx="page" anchory="page"/>
                            </v:rect>
                          </w:pict>
                        </mc:Fallback>
                      </mc:AlternateContent>
                    </w:r>
                    <w:r>
                      <w:rPr>
                        <w:noProof/>
                        <w:color w:val="FFFFFF" w:themeColor="background1"/>
                        <w:lang w:val="en-US"/>
                      </w:rPr>
                      <w:drawing>
                        <wp:anchor distT="0" distB="0" distL="114300" distR="114300" simplePos="0" relativeHeight="251665408" behindDoc="1" locked="0" layoutInCell="1" allowOverlap="1" wp14:anchorId="6BFC556C" wp14:editId="4A65EFC5">
                          <wp:simplePos x="0" y="0"/>
                          <wp:positionH relativeFrom="column">
                            <wp:posOffset>-611868</wp:posOffset>
                          </wp:positionH>
                          <wp:positionV relativeFrom="page">
                            <wp:posOffset>9398000</wp:posOffset>
                          </wp:positionV>
                          <wp:extent cx="1480820" cy="137160"/>
                          <wp:effectExtent l="0" t="0" r="508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137160"/>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themeColor="background1"/>
                        <w:lang w:val="en-US"/>
                      </w:rPr>
                      <w:drawing>
                        <wp:anchor distT="0" distB="0" distL="114300" distR="114300" simplePos="0" relativeHeight="251666432" behindDoc="1" locked="0" layoutInCell="1" allowOverlap="1" wp14:anchorId="43AC22D2" wp14:editId="3DC0AC5A">
                          <wp:simplePos x="0" y="0"/>
                          <wp:positionH relativeFrom="column">
                            <wp:posOffset>5710555</wp:posOffset>
                          </wp:positionH>
                          <wp:positionV relativeFrom="page">
                            <wp:posOffset>9360807</wp:posOffset>
                          </wp:positionV>
                          <wp:extent cx="804545" cy="1917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4545" cy="191770"/>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rPr>
                      <w:t xml:space="preserve">Guide de prestation – Page </w:t>
                    </w:r>
                    <w:r w:rsidRPr="00846EE5">
                      <w:rPr>
                        <w:b/>
                        <w:bCs/>
                        <w:color w:val="FFFFFF" w:themeColor="background1"/>
                        <w:sz w:val="24"/>
                        <w:szCs w:val="24"/>
                      </w:rPr>
                      <w:fldChar w:fldCharType="begin"/>
                    </w:r>
                    <w:r w:rsidRPr="00846EE5">
                      <w:rPr>
                        <w:b/>
                        <w:bCs/>
                        <w:color w:val="FFFFFF" w:themeColor="background1"/>
                      </w:rPr>
                      <w:instrText xml:space="preserve"> PAGE </w:instrText>
                    </w:r>
                    <w:r w:rsidRPr="00846EE5">
                      <w:rPr>
                        <w:b/>
                        <w:bCs/>
                        <w:color w:val="FFFFFF" w:themeColor="background1"/>
                        <w:sz w:val="24"/>
                        <w:szCs w:val="24"/>
                      </w:rPr>
                      <w:fldChar w:fldCharType="separate"/>
                    </w:r>
                    <w:r w:rsidR="00217041">
                      <w:rPr>
                        <w:b/>
                        <w:bCs/>
                        <w:noProof/>
                        <w:color w:val="FFFFFF" w:themeColor="background1"/>
                      </w:rPr>
                      <w:t>1</w:t>
                    </w:r>
                    <w:r w:rsidRPr="00846EE5">
                      <w:rPr>
                        <w:b/>
                        <w:bCs/>
                        <w:color w:val="FFFFFF" w:themeColor="background1"/>
                        <w:sz w:val="24"/>
                        <w:szCs w:val="24"/>
                      </w:rPr>
                      <w:fldChar w:fldCharType="end"/>
                    </w:r>
                    <w:r w:rsidR="00254822">
                      <w:rPr>
                        <w:b/>
                        <w:bCs/>
                        <w:color w:val="FFFFFF" w:themeColor="background1"/>
                        <w:sz w:val="24"/>
                        <w:szCs w:val="24"/>
                      </w:rPr>
                      <w:t xml:space="preserve"> </w:t>
                    </w:r>
                    <w:r>
                      <w:rPr>
                        <w:color w:val="FFFFFF" w:themeColor="background1"/>
                      </w:rPr>
                      <w:t xml:space="preserve">de </w:t>
                    </w:r>
                    <w:r w:rsidRPr="00846EE5">
                      <w:rPr>
                        <w:b/>
                        <w:bCs/>
                        <w:color w:val="FFFFFF" w:themeColor="background1"/>
                        <w:sz w:val="24"/>
                        <w:szCs w:val="24"/>
                      </w:rPr>
                      <w:fldChar w:fldCharType="begin"/>
                    </w:r>
                    <w:r w:rsidRPr="00846EE5">
                      <w:rPr>
                        <w:b/>
                        <w:bCs/>
                        <w:color w:val="FFFFFF" w:themeColor="background1"/>
                      </w:rPr>
                      <w:instrText xml:space="preserve"> NUMPAGES  </w:instrText>
                    </w:r>
                    <w:r w:rsidRPr="00846EE5">
                      <w:rPr>
                        <w:b/>
                        <w:bCs/>
                        <w:color w:val="FFFFFF" w:themeColor="background1"/>
                        <w:sz w:val="24"/>
                        <w:szCs w:val="24"/>
                      </w:rPr>
                      <w:fldChar w:fldCharType="separate"/>
                    </w:r>
                    <w:r w:rsidR="00217041">
                      <w:rPr>
                        <w:b/>
                        <w:bCs/>
                        <w:noProof/>
                        <w:color w:val="FFFFFF" w:themeColor="background1"/>
                      </w:rPr>
                      <w:t>10</w:t>
                    </w:r>
                    <w:r w:rsidRPr="00846EE5">
                      <w:rPr>
                        <w:b/>
                        <w:bCs/>
                        <w:color w:val="FFFFFF" w:themeColor="background1"/>
                        <w:sz w:val="24"/>
                        <w:szCs w:val="24"/>
                      </w:rPr>
                      <w:fldChar w:fldCharType="end"/>
                    </w:r>
                  </w:p>
                </w:sdtContent>
              </w:sdt>
            </w:sdtContent>
          </w:sdt>
        </w:sdtContent>
      </w:sdt>
    </w:sdtContent>
  </w:sdt>
  <w:p w14:paraId="2C536D94" w14:textId="77777777" w:rsidR="00C6640D" w:rsidRDefault="00C6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173409795"/>
      <w:docPartObj>
        <w:docPartGallery w:val="Page Numbers (Bottom of Page)"/>
        <w:docPartUnique/>
      </w:docPartObj>
    </w:sdtPr>
    <w:sdtEndPr/>
    <w:sdtContent>
      <w:sdt>
        <w:sdtPr>
          <w:rPr>
            <w:color w:val="FFFFFF" w:themeColor="background1"/>
          </w:rPr>
          <w:id w:val="1375499074"/>
          <w:docPartObj>
            <w:docPartGallery w:val="Page Numbers (Top of Page)"/>
            <w:docPartUnique/>
          </w:docPartObj>
        </w:sdtPr>
        <w:sdtEndPr/>
        <w:sdtContent>
          <w:p w14:paraId="6165918A" w14:textId="2E997850" w:rsidR="00C6640D" w:rsidRPr="00846EE5" w:rsidRDefault="00C6640D" w:rsidP="00E12AC1">
            <w:pPr>
              <w:pStyle w:val="Footer"/>
              <w:jc w:val="center"/>
              <w:rPr>
                <w:color w:val="FFFFFF" w:themeColor="background1"/>
              </w:rPr>
            </w:pPr>
            <w:r>
              <w:rPr>
                <w:noProof/>
                <w:color w:val="FFFFFF" w:themeColor="background1"/>
                <w:lang w:val="en-US"/>
              </w:rPr>
              <w:drawing>
                <wp:anchor distT="0" distB="0" distL="114300" distR="114300" simplePos="0" relativeHeight="251669504" behindDoc="0" locked="0" layoutInCell="1" allowOverlap="1" wp14:anchorId="23A0DF46" wp14:editId="0C9CB34F">
                  <wp:simplePos x="0" y="0"/>
                  <wp:positionH relativeFrom="margin">
                    <wp:posOffset>-311414</wp:posOffset>
                  </wp:positionH>
                  <wp:positionV relativeFrom="page">
                    <wp:posOffset>9398000</wp:posOffset>
                  </wp:positionV>
                  <wp:extent cx="1481328" cy="137207"/>
                  <wp:effectExtent l="0" t="0" r="508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328" cy="137207"/>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themeColor="background1"/>
                <w:lang w:val="en-US"/>
              </w:rPr>
              <mc:AlternateContent>
                <mc:Choice Requires="wps">
                  <w:drawing>
                    <wp:anchor distT="0" distB="0" distL="114300" distR="114300" simplePos="0" relativeHeight="251668480" behindDoc="1" locked="0" layoutInCell="1" allowOverlap="1" wp14:anchorId="068250DB" wp14:editId="5064A2D2">
                      <wp:simplePos x="0" y="0"/>
                      <wp:positionH relativeFrom="page">
                        <wp:posOffset>184785</wp:posOffset>
                      </wp:positionH>
                      <wp:positionV relativeFrom="page">
                        <wp:posOffset>9317355</wp:posOffset>
                      </wp:positionV>
                      <wp:extent cx="7315200" cy="309880"/>
                      <wp:effectExtent l="0" t="0" r="0" b="0"/>
                      <wp:wrapNone/>
                      <wp:docPr id="21" name="Rectangle 3"/>
                      <wp:cNvGraphicFramePr/>
                      <a:graphic xmlns:a="http://schemas.openxmlformats.org/drawingml/2006/main">
                        <a:graphicData uri="http://schemas.microsoft.com/office/word/2010/wordprocessingShape">
                          <wps:wsp>
                            <wps:cNvSpPr/>
                            <wps:spPr>
                              <a:xfrm>
                                <a:off x="0" y="0"/>
                                <a:ext cx="7315200" cy="309880"/>
                              </a:xfrm>
                              <a:prstGeom prst="rect">
                                <a:avLst/>
                              </a:prstGeom>
                              <a:solidFill>
                                <a:srgbClr val="05529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AB0FDA" id="Rectangle 3" o:spid="_x0000_s1026" style="position:absolute;margin-left:14.55pt;margin-top:733.65pt;width:8in;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" fillcolor="#05529b" stroked="f" strokeweight="1pt">
                      <w10:wrap anchorx="page" anchory="page"/>
                    </v:rect>
                  </w:pict>
                </mc:Fallback>
              </mc:AlternateContent>
            </w:r>
            <w:r>
              <w:rPr>
                <w:noProof/>
                <w:color w:val="FFFFFF" w:themeColor="background1"/>
                <w:lang w:val="en-US"/>
              </w:rPr>
              <w:drawing>
                <wp:anchor distT="0" distB="0" distL="114300" distR="114300" simplePos="0" relativeHeight="251670528" behindDoc="1" locked="0" layoutInCell="1" allowOverlap="1" wp14:anchorId="3FC73425" wp14:editId="582851D2">
                  <wp:simplePos x="0" y="0"/>
                  <wp:positionH relativeFrom="column">
                    <wp:posOffset>5710555</wp:posOffset>
                  </wp:positionH>
                  <wp:positionV relativeFrom="page">
                    <wp:posOffset>9360807</wp:posOffset>
                  </wp:positionV>
                  <wp:extent cx="804545" cy="19177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4545" cy="191770"/>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rPr>
              <w:t xml:space="preserve">Guide de prestation du cours sur le GAFTO – Page </w:t>
            </w:r>
            <w:r w:rsidRPr="00846EE5">
              <w:rPr>
                <w:b/>
                <w:bCs/>
                <w:color w:val="FFFFFF" w:themeColor="background1"/>
                <w:sz w:val="24"/>
                <w:szCs w:val="24"/>
              </w:rPr>
              <w:fldChar w:fldCharType="begin"/>
            </w:r>
            <w:r w:rsidRPr="00846EE5">
              <w:rPr>
                <w:b/>
                <w:bCs/>
                <w:color w:val="FFFFFF" w:themeColor="background1"/>
              </w:rPr>
              <w:instrText xml:space="preserve"> PAGE </w:instrText>
            </w:r>
            <w:r w:rsidRPr="00846EE5">
              <w:rPr>
                <w:b/>
                <w:bCs/>
                <w:color w:val="FFFFFF" w:themeColor="background1"/>
                <w:sz w:val="24"/>
                <w:szCs w:val="24"/>
              </w:rPr>
              <w:fldChar w:fldCharType="separate"/>
            </w:r>
            <w:r w:rsidR="00217041">
              <w:rPr>
                <w:b/>
                <w:bCs/>
                <w:noProof/>
                <w:color w:val="FFFFFF" w:themeColor="background1"/>
              </w:rPr>
              <w:t>0</w:t>
            </w:r>
            <w:r w:rsidRPr="00846EE5">
              <w:rPr>
                <w:b/>
                <w:bCs/>
                <w:color w:val="FFFFFF" w:themeColor="background1"/>
                <w:sz w:val="24"/>
                <w:szCs w:val="24"/>
              </w:rPr>
              <w:fldChar w:fldCharType="end"/>
            </w:r>
            <w:r w:rsidR="0030262D">
              <w:rPr>
                <w:b/>
                <w:bCs/>
                <w:color w:val="FFFFFF" w:themeColor="background1"/>
                <w:sz w:val="24"/>
                <w:szCs w:val="24"/>
              </w:rPr>
              <w:t xml:space="preserve"> </w:t>
            </w:r>
            <w:r>
              <w:rPr>
                <w:color w:val="FFFFFF" w:themeColor="background1"/>
              </w:rPr>
              <w:t xml:space="preserve">de </w:t>
            </w:r>
            <w:r w:rsidRPr="00846EE5">
              <w:rPr>
                <w:b/>
                <w:bCs/>
                <w:color w:val="FFFFFF" w:themeColor="background1"/>
                <w:sz w:val="24"/>
                <w:szCs w:val="24"/>
              </w:rPr>
              <w:fldChar w:fldCharType="begin"/>
            </w:r>
            <w:r w:rsidRPr="00846EE5">
              <w:rPr>
                <w:b/>
                <w:bCs/>
                <w:color w:val="FFFFFF" w:themeColor="background1"/>
              </w:rPr>
              <w:instrText xml:space="preserve"> NUMPAGES  </w:instrText>
            </w:r>
            <w:r w:rsidRPr="00846EE5">
              <w:rPr>
                <w:b/>
                <w:bCs/>
                <w:color w:val="FFFFFF" w:themeColor="background1"/>
                <w:sz w:val="24"/>
                <w:szCs w:val="24"/>
              </w:rPr>
              <w:fldChar w:fldCharType="separate"/>
            </w:r>
            <w:r w:rsidR="00217041">
              <w:rPr>
                <w:b/>
                <w:bCs/>
                <w:noProof/>
                <w:color w:val="FFFFFF" w:themeColor="background1"/>
              </w:rPr>
              <w:t>10</w:t>
            </w:r>
            <w:r w:rsidRPr="00846EE5">
              <w:rPr>
                <w:b/>
                <w:bCs/>
                <w:color w:val="FFFFFF" w:themeColor="background1"/>
                <w:sz w:val="24"/>
                <w:szCs w:val="24"/>
              </w:rPr>
              <w:fldChar w:fldCharType="end"/>
            </w:r>
          </w:p>
        </w:sdtContent>
      </w:sdt>
    </w:sdtContent>
  </w:sdt>
  <w:p w14:paraId="108D4C47" w14:textId="77777777" w:rsidR="00C6640D" w:rsidRDefault="00C6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A8AA3" w14:textId="77777777" w:rsidR="00173E14" w:rsidRDefault="00173E14" w:rsidP="007A782E">
      <w:pPr>
        <w:spacing w:after="0" w:line="240" w:lineRule="auto"/>
      </w:pPr>
      <w:r>
        <w:separator/>
      </w:r>
    </w:p>
  </w:footnote>
  <w:footnote w:type="continuationSeparator" w:id="0">
    <w:p w14:paraId="6C6A28A4" w14:textId="77777777" w:rsidR="00173E14" w:rsidRDefault="00173E14" w:rsidP="007A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0595" w14:textId="2CCD2C70" w:rsidR="00C6640D" w:rsidRDefault="00A8085E" w:rsidP="007A782E">
    <w:pPr>
      <w:pStyle w:val="Header"/>
    </w:pPr>
    <w:r w:rsidRPr="00A8085E">
      <w:rPr>
        <w:noProof/>
        <w:lang w:val="en-US"/>
      </w:rPr>
      <w:drawing>
        <wp:anchor distT="0" distB="0" distL="114300" distR="114300" simplePos="0" relativeHeight="251671552" behindDoc="1" locked="0" layoutInCell="1" allowOverlap="1" wp14:anchorId="728F841D" wp14:editId="24E3AE90">
          <wp:simplePos x="0" y="0"/>
          <wp:positionH relativeFrom="margin">
            <wp:align>center</wp:align>
          </wp:positionH>
          <wp:positionV relativeFrom="paragraph">
            <wp:posOffset>-350520</wp:posOffset>
          </wp:positionV>
          <wp:extent cx="5943600" cy="568325"/>
          <wp:effectExtent l="0" t="0" r="0" b="317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t="83007"/>
                  <a:stretch/>
                </pic:blipFill>
                <pic:spPr>
                  <a:xfrm>
                    <a:off x="0" y="0"/>
                    <a:ext cx="5943600" cy="568325"/>
                  </a:xfrm>
                  <a:prstGeom prst="rect">
                    <a:avLst/>
                  </a:prstGeom>
                </pic:spPr>
              </pic:pic>
            </a:graphicData>
          </a:graphic>
        </wp:anchor>
      </w:drawing>
    </w:r>
    <w:r w:rsidR="00C6640D">
      <w:rPr>
        <w:noProof/>
        <w:lang w:val="en-US"/>
      </w:rPr>
      <mc:AlternateContent>
        <mc:Choice Requires="wps">
          <w:drawing>
            <wp:anchor distT="0" distB="0" distL="114300" distR="114300" simplePos="0" relativeHeight="251662336" behindDoc="0" locked="0" layoutInCell="1" allowOverlap="1" wp14:anchorId="1179034D" wp14:editId="4DB9D7C1">
              <wp:simplePos x="0" y="0"/>
              <wp:positionH relativeFrom="page">
                <wp:posOffset>186055</wp:posOffset>
              </wp:positionH>
              <wp:positionV relativeFrom="paragraph">
                <wp:posOffset>346710</wp:posOffset>
              </wp:positionV>
              <wp:extent cx="7315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315200" cy="0"/>
                      </a:xfrm>
                      <a:prstGeom prst="line">
                        <a:avLst/>
                      </a:prstGeom>
                      <a:ln w="19050">
                        <a:solidFill>
                          <a:srgbClr val="0555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C253F4" id="Straight Connector 18"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4.65pt,27.3pt" to="590.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" strokecolor="#05559b" strokeweight="1.5pt">
              <v:stroke joinstyle="miter"/>
              <w10:wrap anchorx="page"/>
            </v:line>
          </w:pict>
        </mc:Fallback>
      </mc:AlternateContent>
    </w:r>
  </w:p>
  <w:p w14:paraId="17340D6F" w14:textId="77777777" w:rsidR="00C6640D" w:rsidRDefault="00C66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502F" w14:textId="0C4FBEAE" w:rsidR="00A8085E" w:rsidRDefault="00A8085E">
    <w:pPr>
      <w:pStyle w:val="Header"/>
    </w:pPr>
    <w:r w:rsidRPr="00A8085E">
      <w:rPr>
        <w:noProof/>
        <w:lang w:val="en-US"/>
      </w:rPr>
      <w:drawing>
        <wp:anchor distT="0" distB="0" distL="114300" distR="114300" simplePos="0" relativeHeight="251672576" behindDoc="1" locked="0" layoutInCell="1" allowOverlap="1" wp14:anchorId="16774945" wp14:editId="35D7BDE2">
          <wp:simplePos x="0" y="0"/>
          <wp:positionH relativeFrom="margin">
            <wp:posOffset>0</wp:posOffset>
          </wp:positionH>
          <wp:positionV relativeFrom="paragraph">
            <wp:posOffset>-342900</wp:posOffset>
          </wp:positionV>
          <wp:extent cx="5943600" cy="568325"/>
          <wp:effectExtent l="0" t="0" r="0" b="317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t="83007"/>
                  <a:stretch/>
                </pic:blipFill>
                <pic:spPr>
                  <a:xfrm>
                    <a:off x="0" y="0"/>
                    <a:ext cx="5943600" cy="568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DB2"/>
    <w:multiLevelType w:val="hybridMultilevel"/>
    <w:tmpl w:val="CAD0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42C9B"/>
    <w:multiLevelType w:val="hybridMultilevel"/>
    <w:tmpl w:val="286AD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21C8A"/>
    <w:multiLevelType w:val="hybridMultilevel"/>
    <w:tmpl w:val="728C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A51DF"/>
    <w:multiLevelType w:val="hybridMultilevel"/>
    <w:tmpl w:val="2E142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72A28"/>
    <w:multiLevelType w:val="hybridMultilevel"/>
    <w:tmpl w:val="09D0B8B6"/>
    <w:lvl w:ilvl="0" w:tplc="D00A97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F7EB1"/>
    <w:multiLevelType w:val="hybridMultilevel"/>
    <w:tmpl w:val="5ADE4F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81C2E"/>
    <w:multiLevelType w:val="hybridMultilevel"/>
    <w:tmpl w:val="75944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872495"/>
    <w:multiLevelType w:val="hybridMultilevel"/>
    <w:tmpl w:val="41C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56609"/>
    <w:multiLevelType w:val="hybridMultilevel"/>
    <w:tmpl w:val="7338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F4A87"/>
    <w:multiLevelType w:val="hybridMultilevel"/>
    <w:tmpl w:val="4852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36710"/>
    <w:multiLevelType w:val="hybridMultilevel"/>
    <w:tmpl w:val="5BCE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831DE"/>
    <w:multiLevelType w:val="hybridMultilevel"/>
    <w:tmpl w:val="7F94B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34FC0"/>
    <w:multiLevelType w:val="hybridMultilevel"/>
    <w:tmpl w:val="6280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B5E8C"/>
    <w:multiLevelType w:val="hybridMultilevel"/>
    <w:tmpl w:val="EF148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26469"/>
    <w:multiLevelType w:val="hybridMultilevel"/>
    <w:tmpl w:val="C3B0D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74183"/>
    <w:multiLevelType w:val="hybridMultilevel"/>
    <w:tmpl w:val="24066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A7746"/>
    <w:multiLevelType w:val="hybridMultilevel"/>
    <w:tmpl w:val="147A0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A0923"/>
    <w:multiLevelType w:val="hybridMultilevel"/>
    <w:tmpl w:val="693E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A487E"/>
    <w:multiLevelType w:val="hybridMultilevel"/>
    <w:tmpl w:val="9F24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93BD2"/>
    <w:multiLevelType w:val="hybridMultilevel"/>
    <w:tmpl w:val="2D20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06C73"/>
    <w:multiLevelType w:val="hybridMultilevel"/>
    <w:tmpl w:val="EF148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62772"/>
    <w:multiLevelType w:val="hybridMultilevel"/>
    <w:tmpl w:val="7F926F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224DA"/>
    <w:multiLevelType w:val="hybridMultilevel"/>
    <w:tmpl w:val="0438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7022C"/>
    <w:multiLevelType w:val="hybridMultilevel"/>
    <w:tmpl w:val="08BC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05AF9"/>
    <w:multiLevelType w:val="hybridMultilevel"/>
    <w:tmpl w:val="375E84F8"/>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5" w15:restartNumberingAfterBreak="0">
    <w:nsid w:val="5B66166E"/>
    <w:multiLevelType w:val="hybridMultilevel"/>
    <w:tmpl w:val="675CCE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4D47720"/>
    <w:multiLevelType w:val="hybridMultilevel"/>
    <w:tmpl w:val="14380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D2C33"/>
    <w:multiLevelType w:val="hybridMultilevel"/>
    <w:tmpl w:val="B90E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7761C"/>
    <w:multiLevelType w:val="hybridMultilevel"/>
    <w:tmpl w:val="AE80E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C61D10"/>
    <w:multiLevelType w:val="hybridMultilevel"/>
    <w:tmpl w:val="34BC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D4914"/>
    <w:multiLevelType w:val="hybridMultilevel"/>
    <w:tmpl w:val="E1983972"/>
    <w:lvl w:ilvl="0" w:tplc="5972EB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E6067"/>
    <w:multiLevelType w:val="hybridMultilevel"/>
    <w:tmpl w:val="19C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FC0382"/>
    <w:multiLevelType w:val="hybridMultilevel"/>
    <w:tmpl w:val="87D6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
  </w:num>
  <w:num w:numId="4">
    <w:abstractNumId w:val="21"/>
  </w:num>
  <w:num w:numId="5">
    <w:abstractNumId w:val="20"/>
  </w:num>
  <w:num w:numId="6">
    <w:abstractNumId w:val="14"/>
  </w:num>
  <w:num w:numId="7">
    <w:abstractNumId w:val="27"/>
  </w:num>
  <w:num w:numId="8">
    <w:abstractNumId w:val="30"/>
  </w:num>
  <w:num w:numId="9">
    <w:abstractNumId w:val="31"/>
  </w:num>
  <w:num w:numId="10">
    <w:abstractNumId w:val="26"/>
  </w:num>
  <w:num w:numId="11">
    <w:abstractNumId w:val="1"/>
  </w:num>
  <w:num w:numId="12">
    <w:abstractNumId w:val="28"/>
  </w:num>
  <w:num w:numId="13">
    <w:abstractNumId w:val="2"/>
  </w:num>
  <w:num w:numId="14">
    <w:abstractNumId w:val="12"/>
  </w:num>
  <w:num w:numId="15">
    <w:abstractNumId w:val="17"/>
  </w:num>
  <w:num w:numId="16">
    <w:abstractNumId w:val="6"/>
  </w:num>
  <w:num w:numId="17">
    <w:abstractNumId w:val="4"/>
  </w:num>
  <w:num w:numId="18">
    <w:abstractNumId w:val="25"/>
  </w:num>
  <w:num w:numId="19">
    <w:abstractNumId w:val="16"/>
  </w:num>
  <w:num w:numId="20">
    <w:abstractNumId w:val="19"/>
  </w:num>
  <w:num w:numId="21">
    <w:abstractNumId w:val="9"/>
  </w:num>
  <w:num w:numId="22">
    <w:abstractNumId w:val="23"/>
  </w:num>
  <w:num w:numId="23">
    <w:abstractNumId w:val="32"/>
  </w:num>
  <w:num w:numId="24">
    <w:abstractNumId w:val="10"/>
  </w:num>
  <w:num w:numId="25">
    <w:abstractNumId w:val="11"/>
  </w:num>
  <w:num w:numId="26">
    <w:abstractNumId w:val="5"/>
  </w:num>
  <w:num w:numId="27">
    <w:abstractNumId w:val="18"/>
  </w:num>
  <w:num w:numId="28">
    <w:abstractNumId w:val="8"/>
  </w:num>
  <w:num w:numId="29">
    <w:abstractNumId w:val="7"/>
  </w:num>
  <w:num w:numId="30">
    <w:abstractNumId w:val="15"/>
  </w:num>
  <w:num w:numId="31">
    <w:abstractNumId w:val="22"/>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vsrvPelforth\TextBase TMs\2019|vsrvPelforth\TextBase TMs\2018|vsrvPelforth\TextBase TMs\2017|vsrvPelforth\TextBase TMs\2016|vsrvPelforth\TextBase TMs\2015|vsrvPelforth\TextBase TMs\2014|vsrvPelforth\TextBase TMs\2013|vsrvPelforth\TextBase TMs\2012|vsrvPelforth\TextBase TMs\Anciennes|vsrvPelforth\TextBase TMs\2020"/>
    <w:docVar w:name="TextBaseURL" w:val="empty"/>
    <w:docVar w:name="UILng" w:val="en"/>
  </w:docVars>
  <w:rsids>
    <w:rsidRoot w:val="0032188A"/>
    <w:rsid w:val="0001310E"/>
    <w:rsid w:val="00016FB9"/>
    <w:rsid w:val="00024E28"/>
    <w:rsid w:val="00026397"/>
    <w:rsid w:val="00037176"/>
    <w:rsid w:val="00040E65"/>
    <w:rsid w:val="000448D6"/>
    <w:rsid w:val="000503A4"/>
    <w:rsid w:val="00057C00"/>
    <w:rsid w:val="00062EE0"/>
    <w:rsid w:val="00064998"/>
    <w:rsid w:val="000B0430"/>
    <w:rsid w:val="000C13DA"/>
    <w:rsid w:val="000D1CD3"/>
    <w:rsid w:val="000F3D5A"/>
    <w:rsid w:val="001169BF"/>
    <w:rsid w:val="00123F71"/>
    <w:rsid w:val="00130C02"/>
    <w:rsid w:val="0013325F"/>
    <w:rsid w:val="00145965"/>
    <w:rsid w:val="00173E14"/>
    <w:rsid w:val="001849B2"/>
    <w:rsid w:val="00187CDC"/>
    <w:rsid w:val="001B421D"/>
    <w:rsid w:val="001B79D6"/>
    <w:rsid w:val="001C0FED"/>
    <w:rsid w:val="001E54EE"/>
    <w:rsid w:val="001E72C1"/>
    <w:rsid w:val="001E7F79"/>
    <w:rsid w:val="001F6E13"/>
    <w:rsid w:val="00211F6D"/>
    <w:rsid w:val="00212C96"/>
    <w:rsid w:val="00214ADA"/>
    <w:rsid w:val="00217041"/>
    <w:rsid w:val="002247C5"/>
    <w:rsid w:val="00235AAD"/>
    <w:rsid w:val="00242141"/>
    <w:rsid w:val="00253676"/>
    <w:rsid w:val="00254822"/>
    <w:rsid w:val="002560E8"/>
    <w:rsid w:val="0026188E"/>
    <w:rsid w:val="00273C0A"/>
    <w:rsid w:val="002B757F"/>
    <w:rsid w:val="002E71EB"/>
    <w:rsid w:val="00301CAF"/>
    <w:rsid w:val="0030262D"/>
    <w:rsid w:val="00303431"/>
    <w:rsid w:val="003062B2"/>
    <w:rsid w:val="00310332"/>
    <w:rsid w:val="00312302"/>
    <w:rsid w:val="00313E56"/>
    <w:rsid w:val="00315989"/>
    <w:rsid w:val="0032188A"/>
    <w:rsid w:val="00350F5D"/>
    <w:rsid w:val="0036380A"/>
    <w:rsid w:val="00366BC2"/>
    <w:rsid w:val="00367F37"/>
    <w:rsid w:val="003A1423"/>
    <w:rsid w:val="003C1EB4"/>
    <w:rsid w:val="003D1E80"/>
    <w:rsid w:val="003D4DA4"/>
    <w:rsid w:val="004030A5"/>
    <w:rsid w:val="00437634"/>
    <w:rsid w:val="0048315C"/>
    <w:rsid w:val="00483403"/>
    <w:rsid w:val="004C797F"/>
    <w:rsid w:val="004D5E55"/>
    <w:rsid w:val="004F2EB1"/>
    <w:rsid w:val="0052383C"/>
    <w:rsid w:val="00537A07"/>
    <w:rsid w:val="0055717B"/>
    <w:rsid w:val="005A35AB"/>
    <w:rsid w:val="005B78B7"/>
    <w:rsid w:val="005C02E8"/>
    <w:rsid w:val="005D046D"/>
    <w:rsid w:val="005F0BAD"/>
    <w:rsid w:val="0062307A"/>
    <w:rsid w:val="00641C04"/>
    <w:rsid w:val="006429F7"/>
    <w:rsid w:val="006567F2"/>
    <w:rsid w:val="006646A4"/>
    <w:rsid w:val="00684DFA"/>
    <w:rsid w:val="00694020"/>
    <w:rsid w:val="006C138A"/>
    <w:rsid w:val="006C2C95"/>
    <w:rsid w:val="006D38AC"/>
    <w:rsid w:val="006F4451"/>
    <w:rsid w:val="006F5C54"/>
    <w:rsid w:val="006F66F7"/>
    <w:rsid w:val="007037AB"/>
    <w:rsid w:val="00704F93"/>
    <w:rsid w:val="00710469"/>
    <w:rsid w:val="00710DC5"/>
    <w:rsid w:val="007111E9"/>
    <w:rsid w:val="00712EF3"/>
    <w:rsid w:val="00764D69"/>
    <w:rsid w:val="00764E52"/>
    <w:rsid w:val="00771BFB"/>
    <w:rsid w:val="0079799C"/>
    <w:rsid w:val="007A2429"/>
    <w:rsid w:val="007A2C8C"/>
    <w:rsid w:val="007A782E"/>
    <w:rsid w:val="007B341A"/>
    <w:rsid w:val="007C0C9C"/>
    <w:rsid w:val="007D357F"/>
    <w:rsid w:val="00851725"/>
    <w:rsid w:val="0085550C"/>
    <w:rsid w:val="00864368"/>
    <w:rsid w:val="008978CC"/>
    <w:rsid w:val="008B6D40"/>
    <w:rsid w:val="008C40FE"/>
    <w:rsid w:val="008E50FC"/>
    <w:rsid w:val="008F6D2F"/>
    <w:rsid w:val="009045D7"/>
    <w:rsid w:val="00915104"/>
    <w:rsid w:val="00935F92"/>
    <w:rsid w:val="00953A27"/>
    <w:rsid w:val="009643A8"/>
    <w:rsid w:val="0097523C"/>
    <w:rsid w:val="00981769"/>
    <w:rsid w:val="009A27BE"/>
    <w:rsid w:val="009A5A4A"/>
    <w:rsid w:val="009B4439"/>
    <w:rsid w:val="009B4F88"/>
    <w:rsid w:val="009B571C"/>
    <w:rsid w:val="009F395E"/>
    <w:rsid w:val="00A103A5"/>
    <w:rsid w:val="00A11052"/>
    <w:rsid w:val="00A15015"/>
    <w:rsid w:val="00A24AAB"/>
    <w:rsid w:val="00A312AA"/>
    <w:rsid w:val="00A34EE1"/>
    <w:rsid w:val="00A352CF"/>
    <w:rsid w:val="00A40F4C"/>
    <w:rsid w:val="00A53E6E"/>
    <w:rsid w:val="00A5792A"/>
    <w:rsid w:val="00A57E21"/>
    <w:rsid w:val="00A64208"/>
    <w:rsid w:val="00A642F7"/>
    <w:rsid w:val="00A64B39"/>
    <w:rsid w:val="00A67E87"/>
    <w:rsid w:val="00A72B76"/>
    <w:rsid w:val="00A77D8C"/>
    <w:rsid w:val="00A8085E"/>
    <w:rsid w:val="00A94298"/>
    <w:rsid w:val="00A97CAF"/>
    <w:rsid w:val="00AA3F8C"/>
    <w:rsid w:val="00AF6C22"/>
    <w:rsid w:val="00B02C3E"/>
    <w:rsid w:val="00B11ACE"/>
    <w:rsid w:val="00B4358D"/>
    <w:rsid w:val="00B44FD5"/>
    <w:rsid w:val="00B47BFE"/>
    <w:rsid w:val="00B57162"/>
    <w:rsid w:val="00B73CDE"/>
    <w:rsid w:val="00B77831"/>
    <w:rsid w:val="00B84155"/>
    <w:rsid w:val="00BE0640"/>
    <w:rsid w:val="00BF35AB"/>
    <w:rsid w:val="00BF59D7"/>
    <w:rsid w:val="00C1713E"/>
    <w:rsid w:val="00C32792"/>
    <w:rsid w:val="00C42430"/>
    <w:rsid w:val="00C6640D"/>
    <w:rsid w:val="00C72ACD"/>
    <w:rsid w:val="00C74080"/>
    <w:rsid w:val="00C74284"/>
    <w:rsid w:val="00C814F6"/>
    <w:rsid w:val="00C82769"/>
    <w:rsid w:val="00CA085D"/>
    <w:rsid w:val="00CA4F18"/>
    <w:rsid w:val="00CA7AB2"/>
    <w:rsid w:val="00CC5686"/>
    <w:rsid w:val="00CD3E13"/>
    <w:rsid w:val="00CF16C7"/>
    <w:rsid w:val="00CF607D"/>
    <w:rsid w:val="00D038BF"/>
    <w:rsid w:val="00D07E08"/>
    <w:rsid w:val="00D14F15"/>
    <w:rsid w:val="00D25D4A"/>
    <w:rsid w:val="00D34918"/>
    <w:rsid w:val="00D350ED"/>
    <w:rsid w:val="00D35DDC"/>
    <w:rsid w:val="00D6634B"/>
    <w:rsid w:val="00D67F34"/>
    <w:rsid w:val="00D72D74"/>
    <w:rsid w:val="00D83685"/>
    <w:rsid w:val="00D8547F"/>
    <w:rsid w:val="00DA05AF"/>
    <w:rsid w:val="00DA1B26"/>
    <w:rsid w:val="00DB2CA0"/>
    <w:rsid w:val="00DB48BC"/>
    <w:rsid w:val="00DB524C"/>
    <w:rsid w:val="00DB6BFD"/>
    <w:rsid w:val="00DD791F"/>
    <w:rsid w:val="00E04378"/>
    <w:rsid w:val="00E06A03"/>
    <w:rsid w:val="00E11000"/>
    <w:rsid w:val="00E12AC1"/>
    <w:rsid w:val="00E14418"/>
    <w:rsid w:val="00E539B7"/>
    <w:rsid w:val="00E57444"/>
    <w:rsid w:val="00E728CD"/>
    <w:rsid w:val="00E76FF0"/>
    <w:rsid w:val="00E77CF2"/>
    <w:rsid w:val="00E909ED"/>
    <w:rsid w:val="00EB77C9"/>
    <w:rsid w:val="00EC5578"/>
    <w:rsid w:val="00ED002C"/>
    <w:rsid w:val="00ED29E3"/>
    <w:rsid w:val="00EE1162"/>
    <w:rsid w:val="00EF1569"/>
    <w:rsid w:val="00F03D95"/>
    <w:rsid w:val="00F12F23"/>
    <w:rsid w:val="00F22A0C"/>
    <w:rsid w:val="00F43378"/>
    <w:rsid w:val="00F43E95"/>
    <w:rsid w:val="00F447B9"/>
    <w:rsid w:val="00F50B11"/>
    <w:rsid w:val="00F64C7C"/>
    <w:rsid w:val="00F75DD4"/>
    <w:rsid w:val="00F83660"/>
    <w:rsid w:val="00F87F67"/>
    <w:rsid w:val="00F93838"/>
    <w:rsid w:val="00F96B15"/>
    <w:rsid w:val="00F97A0E"/>
    <w:rsid w:val="00FA6F87"/>
    <w:rsid w:val="00FB1D2C"/>
    <w:rsid w:val="00FD4B2F"/>
    <w:rsid w:val="00FE5FC2"/>
    <w:rsid w:val="00FF15C6"/>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402B2"/>
  <w15:chartTrackingRefBased/>
  <w15:docId w15:val="{5509ECA1-4989-4501-8944-09384E4E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78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78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23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8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782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A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2E"/>
  </w:style>
  <w:style w:type="paragraph" w:styleId="Footer">
    <w:name w:val="footer"/>
    <w:basedOn w:val="Normal"/>
    <w:link w:val="FooterChar"/>
    <w:uiPriority w:val="99"/>
    <w:unhideWhenUsed/>
    <w:rsid w:val="007A7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2E"/>
  </w:style>
  <w:style w:type="paragraph" w:styleId="TOCHeading">
    <w:name w:val="TOC Heading"/>
    <w:basedOn w:val="Heading1"/>
    <w:next w:val="Normal"/>
    <w:uiPriority w:val="39"/>
    <w:unhideWhenUsed/>
    <w:qFormat/>
    <w:rsid w:val="00040E65"/>
    <w:pPr>
      <w:outlineLvl w:val="9"/>
    </w:pPr>
  </w:style>
  <w:style w:type="paragraph" w:styleId="TOC1">
    <w:name w:val="toc 1"/>
    <w:basedOn w:val="Normal"/>
    <w:next w:val="Normal"/>
    <w:autoRedefine/>
    <w:uiPriority w:val="39"/>
    <w:unhideWhenUsed/>
    <w:rsid w:val="00040E65"/>
    <w:pPr>
      <w:spacing w:after="100"/>
    </w:pPr>
  </w:style>
  <w:style w:type="paragraph" w:styleId="TOC2">
    <w:name w:val="toc 2"/>
    <w:basedOn w:val="Normal"/>
    <w:next w:val="Normal"/>
    <w:autoRedefine/>
    <w:uiPriority w:val="39"/>
    <w:unhideWhenUsed/>
    <w:rsid w:val="00040E65"/>
    <w:pPr>
      <w:spacing w:after="100"/>
      <w:ind w:left="220"/>
    </w:pPr>
  </w:style>
  <w:style w:type="character" w:styleId="Hyperlink">
    <w:name w:val="Hyperlink"/>
    <w:basedOn w:val="DefaultParagraphFont"/>
    <w:uiPriority w:val="99"/>
    <w:unhideWhenUsed/>
    <w:rsid w:val="00040E65"/>
    <w:rPr>
      <w:color w:val="0563C1" w:themeColor="hyperlink"/>
      <w:u w:val="single"/>
    </w:rPr>
  </w:style>
  <w:style w:type="paragraph" w:styleId="ListParagraph">
    <w:name w:val="List Paragraph"/>
    <w:basedOn w:val="Normal"/>
    <w:uiPriority w:val="34"/>
    <w:qFormat/>
    <w:rsid w:val="00040E65"/>
    <w:pPr>
      <w:ind w:left="720"/>
      <w:contextualSpacing/>
    </w:pPr>
  </w:style>
  <w:style w:type="paragraph" w:styleId="NoSpacing">
    <w:name w:val="No Spacing"/>
    <w:link w:val="NoSpacingChar"/>
    <w:uiPriority w:val="1"/>
    <w:qFormat/>
    <w:rsid w:val="00F96B15"/>
    <w:pPr>
      <w:spacing w:after="0" w:line="240" w:lineRule="auto"/>
    </w:pPr>
    <w:rPr>
      <w:rFonts w:eastAsiaTheme="minorEastAsia"/>
    </w:rPr>
  </w:style>
  <w:style w:type="character" w:customStyle="1" w:styleId="NoSpacingChar">
    <w:name w:val="No Spacing Char"/>
    <w:basedOn w:val="DefaultParagraphFont"/>
    <w:link w:val="NoSpacing"/>
    <w:uiPriority w:val="1"/>
    <w:rsid w:val="00F96B15"/>
    <w:rPr>
      <w:rFonts w:eastAsiaTheme="minorEastAsia"/>
    </w:rPr>
  </w:style>
  <w:style w:type="character" w:customStyle="1" w:styleId="Heading3Char">
    <w:name w:val="Heading 3 Char"/>
    <w:basedOn w:val="DefaultParagraphFont"/>
    <w:link w:val="Heading3"/>
    <w:uiPriority w:val="9"/>
    <w:rsid w:val="0031230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C13DA"/>
    <w:pPr>
      <w:spacing w:after="100"/>
      <w:ind w:left="440"/>
    </w:pPr>
  </w:style>
  <w:style w:type="character" w:styleId="CommentReference">
    <w:name w:val="annotation reference"/>
    <w:basedOn w:val="DefaultParagraphFont"/>
    <w:uiPriority w:val="99"/>
    <w:semiHidden/>
    <w:unhideWhenUsed/>
    <w:rsid w:val="00864368"/>
    <w:rPr>
      <w:sz w:val="16"/>
      <w:szCs w:val="16"/>
    </w:rPr>
  </w:style>
  <w:style w:type="paragraph" w:styleId="CommentText">
    <w:name w:val="annotation text"/>
    <w:basedOn w:val="Normal"/>
    <w:link w:val="CommentTextChar"/>
    <w:uiPriority w:val="99"/>
    <w:semiHidden/>
    <w:unhideWhenUsed/>
    <w:rsid w:val="00864368"/>
    <w:pPr>
      <w:spacing w:line="240" w:lineRule="auto"/>
    </w:pPr>
    <w:rPr>
      <w:sz w:val="20"/>
      <w:szCs w:val="20"/>
    </w:rPr>
  </w:style>
  <w:style w:type="character" w:customStyle="1" w:styleId="CommentTextChar">
    <w:name w:val="Comment Text Char"/>
    <w:basedOn w:val="DefaultParagraphFont"/>
    <w:link w:val="CommentText"/>
    <w:uiPriority w:val="99"/>
    <w:semiHidden/>
    <w:rsid w:val="00864368"/>
    <w:rPr>
      <w:sz w:val="20"/>
      <w:szCs w:val="20"/>
    </w:rPr>
  </w:style>
  <w:style w:type="paragraph" w:styleId="BalloonText">
    <w:name w:val="Balloon Text"/>
    <w:basedOn w:val="Normal"/>
    <w:link w:val="BalloonTextChar"/>
    <w:uiPriority w:val="99"/>
    <w:semiHidden/>
    <w:unhideWhenUsed/>
    <w:rsid w:val="00864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3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4208"/>
    <w:rPr>
      <w:b/>
      <w:bCs/>
    </w:rPr>
  </w:style>
  <w:style w:type="character" w:customStyle="1" w:styleId="CommentSubjectChar">
    <w:name w:val="Comment Subject Char"/>
    <w:basedOn w:val="CommentTextChar"/>
    <w:link w:val="CommentSubject"/>
    <w:uiPriority w:val="99"/>
    <w:semiHidden/>
    <w:rsid w:val="00A64208"/>
    <w:rPr>
      <w:b/>
      <w:bCs/>
      <w:sz w:val="20"/>
      <w:szCs w:val="20"/>
    </w:rPr>
  </w:style>
  <w:style w:type="character" w:styleId="FollowedHyperlink">
    <w:name w:val="FollowedHyperlink"/>
    <w:basedOn w:val="DefaultParagraphFont"/>
    <w:uiPriority w:val="99"/>
    <w:semiHidden/>
    <w:unhideWhenUsed/>
    <w:rsid w:val="008C4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https://www.nserc-crsng.gc.ca/InterAgency-Interorganismes/TAFA-AFTO/guide-guide_fra.asp" TargetMode="External" /><Relationship Id="rId18" Type="http://schemas.openxmlformats.org/officeDocument/2006/relationships/header" Target="header1.xml" /><Relationship Id="rId3" Type="http://schemas.openxmlformats.org/officeDocument/2006/relationships/numbering" Target="numbering.xml" /><Relationship Id="rId21" Type="http://schemas.openxmlformats.org/officeDocument/2006/relationships/footer" Target="footer2.xml" /><Relationship Id="rId7" Type="http://schemas.openxmlformats.org/officeDocument/2006/relationships/footnotes" Target="footnotes.xml" /><Relationship Id="rId12" Type="http://schemas.openxmlformats.org/officeDocument/2006/relationships/hyperlink" Target="https://www.nserc-crsng.gc.ca/InterAgency-Interorganismes/TAFA-AFTO/guide-guide_fra.asp" TargetMode="External" /><Relationship Id="rId17" Type="http://schemas.openxmlformats.org/officeDocument/2006/relationships/image" Target="media/image4.jpeg" /><Relationship Id="rId2" Type="http://schemas.openxmlformats.org/officeDocument/2006/relationships/customXml" Target="../customXml/item2.xml" /><Relationship Id="rId16" Type="http://schemas.openxmlformats.org/officeDocument/2006/relationships/image" Target="media/image3.jpeg" /><Relationship Id="rId20"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1.png" /><Relationship Id="rId24" Type="http://schemas.openxmlformats.org/officeDocument/2006/relationships/theme" Target="theme/theme1.xml" /><Relationship Id="rId5" Type="http://schemas.openxmlformats.org/officeDocument/2006/relationships/settings" Target="settings.xml" /><Relationship Id="rId15" Type="http://schemas.openxmlformats.org/officeDocument/2006/relationships/image" Target="media/image2.jpeg" /><Relationship Id="rId23" Type="http://schemas.openxmlformats.org/officeDocument/2006/relationships/glossaryDocument" Target="glossary/document.xml" /><Relationship Id="rId10" Type="http://schemas.openxmlformats.org/officeDocument/2006/relationships/hyperlink" Target="http://infonet.internal.cihr.ca/OTCSdav/nodes/18497238/mailto%3ASupport-Soutien%40cihr-irsc.gc.ca" TargetMode="External" /><Relationship Id="rId19" Type="http://schemas.openxmlformats.org/officeDocument/2006/relationships/footer" Target="footer1.xml" /><Relationship Id="rId4" Type="http://schemas.openxmlformats.org/officeDocument/2006/relationships/styles" Target="styles.xml" /><Relationship Id="rId9" Type="http://schemas.openxmlformats.org/officeDocument/2006/relationships/hyperlink" Target="https://www.nserc-crsng.gc.ca/InterAgency-Interorganismes/TAFA-AFTO/guide-guide_fra.asp" TargetMode="External" /><Relationship Id="rId14" Type="http://schemas.openxmlformats.org/officeDocument/2006/relationships/hyperlink" Target="https://www.nserc-crsng.gc.ca/InterAgency-Interorganismes/TAFA-AFTO/guide-guide_fra.asp" TargetMode="External" /><Relationship Id="rId22" Type="http://schemas.openxmlformats.org/officeDocument/2006/relationships/fontTable" Target="fontTable.xml" /></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4F132055F04CF196535D06B84CE7E3"/>
        <w:category>
          <w:name w:val="General"/>
          <w:gallery w:val="placeholder"/>
        </w:category>
        <w:types>
          <w:type w:val="bbPlcHdr"/>
        </w:types>
        <w:behaviors>
          <w:behavior w:val="content"/>
        </w:behaviors>
        <w:guid w:val="{DB206CE3-6AD9-4D5F-BE05-EF32B63AD7A2}"/>
      </w:docPartPr>
      <w:docPartBody>
        <w:p w:rsidR="005A6CCB" w:rsidRDefault="005A6CCB" w:rsidP="005A6CCB">
          <w:pPr>
            <w:pStyle w:val="274F132055F04CF196535D06B84CE7E3"/>
          </w:pPr>
          <w:r>
            <w:rPr>
              <w:rFonts w:asciiTheme="majorHAnsi" w:eastAsiaTheme="majorEastAsia" w:hAnsiTheme="majorHAnsi" w:cstheme="majorBidi"/>
              <w:color w:val="5B9BD5" w:themeColor="accent1"/>
              <w:sz w:val="88"/>
              <w:szCs w:val="88"/>
            </w:rPr>
            <w:t>[Document title]</w:t>
          </w:r>
        </w:p>
      </w:docPartBody>
    </w:docPart>
    <w:docPart>
      <w:docPartPr>
        <w:name w:val="F8FC6EBD701E4386AFE34C9E9B780A0E"/>
        <w:category>
          <w:name w:val="General"/>
          <w:gallery w:val="placeholder"/>
        </w:category>
        <w:types>
          <w:type w:val="bbPlcHdr"/>
        </w:types>
        <w:behaviors>
          <w:behavior w:val="content"/>
        </w:behaviors>
        <w:guid w:val="{8216E229-AF17-4DA7-90EF-C01B1B436FD1}"/>
      </w:docPartPr>
      <w:docPartBody>
        <w:p w:rsidR="005A6CCB" w:rsidRDefault="005A6CCB" w:rsidP="005A6CCB">
          <w:pPr>
            <w:pStyle w:val="F8FC6EBD701E4386AFE34C9E9B780A0E"/>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CB"/>
    <w:rsid w:val="00093F31"/>
    <w:rsid w:val="001B1B8B"/>
    <w:rsid w:val="0021665A"/>
    <w:rsid w:val="004A2EC2"/>
    <w:rsid w:val="00522C5A"/>
    <w:rsid w:val="005A6CCB"/>
    <w:rsid w:val="006476A8"/>
    <w:rsid w:val="0069221F"/>
    <w:rsid w:val="006B272D"/>
    <w:rsid w:val="0080448C"/>
    <w:rsid w:val="00811E1D"/>
    <w:rsid w:val="008D4827"/>
    <w:rsid w:val="00915104"/>
    <w:rsid w:val="009705F2"/>
    <w:rsid w:val="009C26A7"/>
    <w:rsid w:val="00A93302"/>
    <w:rsid w:val="00BF11EA"/>
    <w:rsid w:val="00C94D47"/>
    <w:rsid w:val="00E008DB"/>
    <w:rsid w:val="00E340D0"/>
    <w:rsid w:val="00F6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93CA053BF3413AB7D9BBE99669466C">
    <w:name w:val="E393CA053BF3413AB7D9BBE99669466C"/>
    <w:rsid w:val="005A6CCB"/>
  </w:style>
  <w:style w:type="paragraph" w:customStyle="1" w:styleId="274F132055F04CF196535D06B84CE7E3">
    <w:name w:val="274F132055F04CF196535D06B84CE7E3"/>
    <w:rsid w:val="005A6CCB"/>
  </w:style>
  <w:style w:type="paragraph" w:customStyle="1" w:styleId="F8FC6EBD701E4386AFE34C9E9B780A0E">
    <w:name w:val="F8FC6EBD701E4386AFE34C9E9B780A0E"/>
    <w:rsid w:val="005A6CCB"/>
  </w:style>
  <w:style w:type="paragraph" w:customStyle="1" w:styleId="8CC53268A12B4DC3B060A621279BCA4B">
    <w:name w:val="8CC53268A12B4DC3B060A621279BCA4B"/>
    <w:rsid w:val="005A6CCB"/>
  </w:style>
  <w:style w:type="paragraph" w:customStyle="1" w:styleId="43A1068E7DD24600B75144B28C883E95">
    <w:name w:val="43A1068E7DD24600B75144B28C883E95"/>
    <w:rsid w:val="005A6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41E43C-1AC7-4D1D-95C6-18F4762E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3075</Words>
  <Characters>17534</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d’administration financière des trois organismes</vt:lpstr>
      <vt:lpstr>Guide d’administration financière des trois organismes</vt:lpstr>
    </vt:vector>
  </TitlesOfParts>
  <Company>Instituts de recherche en santé du Canada</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d’administration financière des trois organismes</dc:title>
  <dc:subject>Guide de prestation du cours</dc:subject>
  <dc:creator/>
  <cp:keywords/>
  <dc:description/>
  <cp:lastModifiedBy>Cote, Richard (CIHR/IRSC)</cp:lastModifiedBy>
  <cp:revision>12</cp:revision>
  <dcterms:created xsi:type="dcterms:W3CDTF">2020-02-20T17:16:00Z</dcterms:created>
  <dcterms:modified xsi:type="dcterms:W3CDTF">2020-03-03T15:45:00Z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2">
    <vt:lpwstr>2/15/2020 9:44:23 AM</vt:lpwstr>
  </property>
</Properties>
</file>